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00127" w14:textId="4CE847E5" w:rsidR="00355798" w:rsidRPr="0006013F" w:rsidRDefault="005F7215" w:rsidP="0006013F">
      <w:pPr>
        <w:keepNext/>
        <w:jc w:val="right"/>
        <w:rPr>
          <w:szCs w:val="24"/>
        </w:rPr>
      </w:pPr>
      <w:r w:rsidRPr="00B43D63">
        <w:rPr>
          <w:noProof/>
          <w:szCs w:val="24"/>
          <w:lang w:eastAsia="en-GB"/>
        </w:rPr>
        <w:drawing>
          <wp:inline distT="0" distB="0" distL="0" distR="0" wp14:anchorId="4553A033" wp14:editId="34358EDB">
            <wp:extent cx="997585" cy="866775"/>
            <wp:effectExtent l="0" t="0" r="0" b="9525"/>
            <wp:docPr id="1" name="Picture 1" descr="HS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 Blac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7585" cy="866775"/>
                    </a:xfrm>
                    <a:prstGeom prst="rect">
                      <a:avLst/>
                    </a:prstGeom>
                    <a:noFill/>
                    <a:ln>
                      <a:noFill/>
                    </a:ln>
                  </pic:spPr>
                </pic:pic>
              </a:graphicData>
            </a:graphic>
          </wp:inline>
        </w:drawing>
      </w:r>
    </w:p>
    <w:p w14:paraId="012515B4" w14:textId="77777777" w:rsidR="00585674" w:rsidRDefault="00585674" w:rsidP="0055706B">
      <w:pPr>
        <w:pStyle w:val="StyleComplex12ptBoldRight"/>
      </w:pPr>
    </w:p>
    <w:p w14:paraId="2506EC34" w14:textId="483F537F" w:rsidR="00630783" w:rsidRPr="00630783" w:rsidRDefault="00D56909" w:rsidP="00630783">
      <w:pPr>
        <w:keepNext/>
        <w:keepLines/>
        <w:spacing w:before="40" w:line="259" w:lineRule="auto"/>
        <w:jc w:val="right"/>
        <w:outlineLvl w:val="1"/>
        <w:rPr>
          <w:b/>
          <w:sz w:val="24"/>
          <w:szCs w:val="26"/>
        </w:rPr>
      </w:pPr>
      <w:proofErr w:type="gramStart"/>
      <w:r>
        <w:rPr>
          <w:b/>
          <w:sz w:val="24"/>
          <w:szCs w:val="26"/>
        </w:rPr>
        <w:t xml:space="preserve">HS </w:t>
      </w:r>
      <w:r w:rsidR="009B1187">
        <w:rPr>
          <w:b/>
          <w:sz w:val="24"/>
          <w:szCs w:val="26"/>
        </w:rPr>
        <w:t xml:space="preserve"> </w:t>
      </w:r>
      <w:r>
        <w:rPr>
          <w:b/>
          <w:sz w:val="24"/>
          <w:szCs w:val="26"/>
        </w:rPr>
        <w:t>Paper</w:t>
      </w:r>
      <w:proofErr w:type="gramEnd"/>
      <w:r>
        <w:rPr>
          <w:b/>
          <w:sz w:val="24"/>
          <w:szCs w:val="26"/>
        </w:rPr>
        <w:t xml:space="preserve"> </w:t>
      </w:r>
      <w:r w:rsidR="00C01FCB">
        <w:rPr>
          <w:b/>
          <w:sz w:val="24"/>
          <w:szCs w:val="26"/>
        </w:rPr>
        <w:t>30</w:t>
      </w:r>
      <w:r w:rsidR="009B1187">
        <w:rPr>
          <w:b/>
          <w:sz w:val="24"/>
          <w:szCs w:val="26"/>
        </w:rPr>
        <w:t>/19</w:t>
      </w:r>
    </w:p>
    <w:p w14:paraId="7857935A" w14:textId="77777777" w:rsidR="00355798" w:rsidRPr="001C7811" w:rsidRDefault="00355798" w:rsidP="00D10A1E">
      <w:pPr>
        <w:rPr>
          <w:rFonts w:cs="Arial"/>
          <w:sz w:val="24"/>
          <w:szCs w:val="24"/>
        </w:rPr>
      </w:pPr>
    </w:p>
    <w:p w14:paraId="52BCDB35" w14:textId="77777777" w:rsidR="00D10A1E" w:rsidRPr="001C7811" w:rsidRDefault="00D10A1E" w:rsidP="00D10A1E">
      <w:pPr>
        <w:rPr>
          <w:rFonts w:cs="Arial"/>
          <w:sz w:val="24"/>
          <w:szCs w:val="24"/>
        </w:rPr>
      </w:pPr>
    </w:p>
    <w:p w14:paraId="002E37D8" w14:textId="34C946FC" w:rsidR="00630783" w:rsidRPr="00D80CCF" w:rsidRDefault="00D56909" w:rsidP="00D80CCF">
      <w:pPr>
        <w:pStyle w:val="CMTsubheading"/>
        <w:rPr>
          <w:rFonts w:cs="Arial"/>
          <w:sz w:val="24"/>
          <w:szCs w:val="24"/>
        </w:rPr>
      </w:pPr>
      <w:r>
        <w:rPr>
          <w:rFonts w:cs="Arial"/>
          <w:sz w:val="24"/>
          <w:szCs w:val="24"/>
        </w:rPr>
        <w:t>BOARD</w:t>
      </w:r>
      <w:r w:rsidR="00D80CCF" w:rsidRPr="001C7811">
        <w:rPr>
          <w:rFonts w:cs="Arial"/>
          <w:sz w:val="24"/>
          <w:szCs w:val="24"/>
        </w:rPr>
        <w:t xml:space="preserve"> MEETING: </w:t>
      </w:r>
      <w:r w:rsidR="00693DD1">
        <w:rPr>
          <w:rFonts w:cs="Arial"/>
          <w:sz w:val="24"/>
          <w:szCs w:val="24"/>
        </w:rPr>
        <w:t>21</w:t>
      </w:r>
      <w:r w:rsidR="00D80CCF" w:rsidRPr="001C7811">
        <w:rPr>
          <w:rFonts w:cs="Arial"/>
          <w:sz w:val="24"/>
          <w:szCs w:val="24"/>
        </w:rPr>
        <w:t xml:space="preserve"> JUNE 201</w:t>
      </w:r>
      <w:r w:rsidR="00970115">
        <w:rPr>
          <w:rFonts w:cs="Arial"/>
          <w:sz w:val="24"/>
          <w:szCs w:val="24"/>
        </w:rPr>
        <w:t>9</w:t>
      </w:r>
    </w:p>
    <w:p w14:paraId="08210169" w14:textId="77777777" w:rsidR="00630783" w:rsidRPr="00630783" w:rsidRDefault="00630783" w:rsidP="00630783">
      <w:pPr>
        <w:spacing w:after="160" w:line="259" w:lineRule="auto"/>
        <w:rPr>
          <w:rFonts w:ascii="Calibri" w:eastAsia="Calibri" w:hAnsi="Calibri"/>
          <w:szCs w:val="22"/>
        </w:rPr>
      </w:pPr>
      <w:r w:rsidRPr="00630783">
        <w:rPr>
          <w:rFonts w:eastAsia="Calibri" w:cs="Arial"/>
          <w:b/>
          <w:bCs/>
          <w:sz w:val="24"/>
          <w:szCs w:val="24"/>
        </w:rPr>
        <w:t xml:space="preserve">We are working towards all our publications being available in an accessible format.  In the meantime if you require this paper in a more accessible format, please contact us using this email address </w:t>
      </w:r>
      <w:hyperlink r:id="rId14" w:history="1">
        <w:r w:rsidRPr="00630783">
          <w:rPr>
            <w:rFonts w:eastAsia="Calibri" w:cs="Arial"/>
            <w:b/>
            <w:bCs/>
            <w:color w:val="0563C1"/>
            <w:sz w:val="24"/>
            <w:szCs w:val="24"/>
            <w:u w:val="single"/>
          </w:rPr>
          <w:t>nhs.healthscotland-ceo@nhs.net</w:t>
        </w:r>
      </w:hyperlink>
    </w:p>
    <w:p w14:paraId="753FC580" w14:textId="77777777" w:rsidR="00630783" w:rsidRPr="00630783" w:rsidRDefault="00630783" w:rsidP="00630783">
      <w:pPr>
        <w:spacing w:line="259" w:lineRule="auto"/>
        <w:rPr>
          <w:rFonts w:eastAsia="Calibri" w:cs="Arial"/>
          <w:b/>
          <w:sz w:val="24"/>
          <w:szCs w:val="24"/>
        </w:rPr>
      </w:pPr>
    </w:p>
    <w:p w14:paraId="2A88BC19" w14:textId="77777777" w:rsidR="00630783" w:rsidRDefault="00630783" w:rsidP="00630783">
      <w:pPr>
        <w:spacing w:line="259" w:lineRule="auto"/>
        <w:rPr>
          <w:rFonts w:eastAsia="Calibri" w:cs="Arial"/>
          <w:b/>
          <w:sz w:val="24"/>
          <w:szCs w:val="24"/>
        </w:rPr>
      </w:pPr>
      <w:r w:rsidRPr="00630783">
        <w:rPr>
          <w:rFonts w:eastAsia="Calibri" w:cs="Arial"/>
          <w:b/>
          <w:sz w:val="24"/>
          <w:szCs w:val="24"/>
        </w:rPr>
        <w:t>ANNUAL RISK REPORT</w:t>
      </w:r>
    </w:p>
    <w:p w14:paraId="5AA4D855" w14:textId="77777777" w:rsidR="00630783" w:rsidRPr="00630783" w:rsidRDefault="00630783" w:rsidP="00630783">
      <w:pPr>
        <w:spacing w:line="259" w:lineRule="auto"/>
        <w:rPr>
          <w:rFonts w:eastAsia="Calibri" w:cs="Arial"/>
          <w:b/>
          <w:sz w:val="24"/>
          <w:szCs w:val="24"/>
        </w:rPr>
      </w:pPr>
    </w:p>
    <w:p w14:paraId="01D34A81" w14:textId="77777777" w:rsidR="00355798" w:rsidRPr="001C7811" w:rsidRDefault="00355798" w:rsidP="00C57FD7">
      <w:pPr>
        <w:pStyle w:val="CMTsubheading"/>
        <w:rPr>
          <w:rFonts w:cs="Arial"/>
          <w:sz w:val="24"/>
          <w:szCs w:val="24"/>
        </w:rPr>
      </w:pPr>
      <w:r w:rsidRPr="001C7811">
        <w:rPr>
          <w:rFonts w:cs="Arial"/>
          <w:sz w:val="24"/>
          <w:szCs w:val="24"/>
        </w:rPr>
        <w:t>Recommendation/action required</w:t>
      </w:r>
    </w:p>
    <w:tbl>
      <w:tblPr>
        <w:tblStyle w:val="TableGrid"/>
        <w:tblW w:w="0" w:type="auto"/>
        <w:tblLook w:val="01E0" w:firstRow="1" w:lastRow="1" w:firstColumn="1" w:lastColumn="1" w:noHBand="0" w:noVBand="0"/>
        <w:tblCaption w:val="Box stating what is required of Audit Committee from the paper"/>
        <w:tblDescription w:val="Box stating: The Audit Committee is asked to note the contents of the paper, and to approve the updated Management of Risk Protocol (Appendix 3)."/>
      </w:tblPr>
      <w:tblGrid>
        <w:gridCol w:w="8296"/>
      </w:tblGrid>
      <w:tr w:rsidR="00355798" w:rsidRPr="001C7811" w14:paraId="6D66A418" w14:textId="77777777" w:rsidTr="00D10A1E">
        <w:tc>
          <w:tcPr>
            <w:tcW w:w="8522" w:type="dxa"/>
          </w:tcPr>
          <w:p w14:paraId="21DDF7D4" w14:textId="77777777" w:rsidR="00355798" w:rsidRPr="001C7811" w:rsidRDefault="00355798" w:rsidP="00324DD5">
            <w:pPr>
              <w:rPr>
                <w:rFonts w:cs="Arial"/>
                <w:sz w:val="24"/>
                <w:szCs w:val="24"/>
              </w:rPr>
            </w:pPr>
          </w:p>
          <w:p w14:paraId="5B794600" w14:textId="74678FFC" w:rsidR="009C7367" w:rsidRPr="001C7811" w:rsidRDefault="00630783" w:rsidP="009C7367">
            <w:pPr>
              <w:rPr>
                <w:rFonts w:cs="Arial"/>
                <w:sz w:val="24"/>
                <w:szCs w:val="24"/>
              </w:rPr>
            </w:pPr>
            <w:r w:rsidRPr="001D3CD2">
              <w:rPr>
                <w:rFonts w:cs="Arial"/>
                <w:sz w:val="24"/>
                <w:szCs w:val="24"/>
              </w:rPr>
              <w:t xml:space="preserve">The </w:t>
            </w:r>
            <w:r w:rsidR="00D56909">
              <w:rPr>
                <w:rFonts w:cs="Arial"/>
                <w:sz w:val="24"/>
                <w:szCs w:val="24"/>
              </w:rPr>
              <w:t>Board</w:t>
            </w:r>
            <w:r w:rsidRPr="001D3CD2">
              <w:rPr>
                <w:rFonts w:cs="Arial"/>
                <w:sz w:val="24"/>
                <w:szCs w:val="24"/>
              </w:rPr>
              <w:t xml:space="preserve"> </w:t>
            </w:r>
            <w:r w:rsidR="00355798" w:rsidRPr="001C7811">
              <w:rPr>
                <w:rFonts w:cs="Arial"/>
                <w:sz w:val="24"/>
                <w:szCs w:val="24"/>
              </w:rPr>
              <w:t>is asked to</w:t>
            </w:r>
            <w:r w:rsidR="001A5AB4" w:rsidRPr="001C7811">
              <w:rPr>
                <w:rFonts w:cs="Arial"/>
                <w:sz w:val="24"/>
                <w:szCs w:val="24"/>
              </w:rPr>
              <w:t xml:space="preserve"> note the contents of the paper</w:t>
            </w:r>
            <w:r w:rsidR="006C6941">
              <w:rPr>
                <w:rFonts w:cs="Arial"/>
                <w:sz w:val="24"/>
                <w:szCs w:val="24"/>
              </w:rPr>
              <w:t>.</w:t>
            </w:r>
          </w:p>
          <w:p w14:paraId="567F5181" w14:textId="77777777" w:rsidR="00355798" w:rsidRPr="001C7811" w:rsidRDefault="009C7367" w:rsidP="009C7367">
            <w:pPr>
              <w:rPr>
                <w:rFonts w:cs="Arial"/>
                <w:sz w:val="24"/>
                <w:szCs w:val="24"/>
              </w:rPr>
            </w:pPr>
            <w:r w:rsidRPr="001C7811">
              <w:rPr>
                <w:rFonts w:cs="Arial"/>
                <w:sz w:val="24"/>
                <w:szCs w:val="24"/>
              </w:rPr>
              <w:t xml:space="preserve"> </w:t>
            </w:r>
          </w:p>
        </w:tc>
      </w:tr>
    </w:tbl>
    <w:p w14:paraId="15B20B95" w14:textId="77777777" w:rsidR="00355798" w:rsidRPr="006A6FC8" w:rsidRDefault="00355798" w:rsidP="00324DD5">
      <w:pPr>
        <w:rPr>
          <w:rFonts w:cs="Arial"/>
          <w:sz w:val="24"/>
          <w:szCs w:val="24"/>
        </w:rPr>
      </w:pPr>
    </w:p>
    <w:p w14:paraId="2D29E5C3" w14:textId="71C6978B" w:rsidR="00355798" w:rsidRDefault="00355798" w:rsidP="00D10A1E">
      <w:pPr>
        <w:rPr>
          <w:rFonts w:cs="Arial"/>
          <w:sz w:val="24"/>
          <w:szCs w:val="24"/>
        </w:rPr>
      </w:pPr>
    </w:p>
    <w:p w14:paraId="077FE948" w14:textId="77777777" w:rsidR="00E93947" w:rsidRDefault="00E93947" w:rsidP="00D10A1E">
      <w:pPr>
        <w:rPr>
          <w:rFonts w:cs="Arial"/>
          <w:sz w:val="24"/>
          <w:szCs w:val="24"/>
        </w:rPr>
      </w:pPr>
    </w:p>
    <w:p w14:paraId="1C1BCE50" w14:textId="77777777" w:rsidR="00A82F19" w:rsidRPr="006A6FC8" w:rsidRDefault="00A82F19" w:rsidP="00D10A1E">
      <w:pPr>
        <w:rPr>
          <w:rFonts w:cs="Arial"/>
          <w:sz w:val="24"/>
          <w:szCs w:val="24"/>
        </w:rPr>
      </w:pPr>
    </w:p>
    <w:p w14:paraId="3B603093" w14:textId="77777777" w:rsidR="00355798" w:rsidRPr="006A6FC8" w:rsidRDefault="00355798" w:rsidP="00C57FD7">
      <w:pPr>
        <w:pStyle w:val="CMTsubheading"/>
        <w:rPr>
          <w:rFonts w:cs="Arial"/>
          <w:sz w:val="24"/>
          <w:szCs w:val="24"/>
        </w:rPr>
      </w:pPr>
      <w:r w:rsidRPr="006A6FC8">
        <w:rPr>
          <w:rFonts w:cs="Arial"/>
          <w:sz w:val="24"/>
          <w:szCs w:val="24"/>
        </w:rPr>
        <w:t>Author:</w:t>
      </w:r>
      <w:r w:rsidRPr="006A6FC8">
        <w:rPr>
          <w:rFonts w:cs="Arial"/>
          <w:sz w:val="24"/>
          <w:szCs w:val="24"/>
        </w:rPr>
        <w:tab/>
      </w:r>
      <w:r w:rsidR="00324DD5" w:rsidRPr="006A6FC8">
        <w:rPr>
          <w:rFonts w:cs="Arial"/>
          <w:sz w:val="24"/>
          <w:szCs w:val="24"/>
        </w:rPr>
        <w:tab/>
      </w:r>
      <w:r w:rsidR="00324DD5" w:rsidRPr="006A6FC8">
        <w:rPr>
          <w:rFonts w:cs="Arial"/>
          <w:sz w:val="24"/>
          <w:szCs w:val="24"/>
        </w:rPr>
        <w:tab/>
      </w:r>
      <w:r w:rsidR="00324DD5" w:rsidRPr="006A6FC8">
        <w:rPr>
          <w:rFonts w:cs="Arial"/>
          <w:sz w:val="24"/>
          <w:szCs w:val="24"/>
        </w:rPr>
        <w:tab/>
      </w:r>
      <w:r w:rsidR="00324DD5" w:rsidRPr="006A6FC8">
        <w:rPr>
          <w:rFonts w:cs="Arial"/>
          <w:sz w:val="24"/>
          <w:szCs w:val="24"/>
        </w:rPr>
        <w:tab/>
      </w:r>
      <w:r w:rsidRPr="006A6FC8">
        <w:rPr>
          <w:rFonts w:cs="Arial"/>
          <w:sz w:val="24"/>
          <w:szCs w:val="24"/>
        </w:rPr>
        <w:t>Sponsoring Director:</w:t>
      </w:r>
    </w:p>
    <w:p w14:paraId="74343CDC" w14:textId="77777777" w:rsidR="00355798" w:rsidRPr="006A6FC8" w:rsidRDefault="00355798" w:rsidP="00324DD5">
      <w:pPr>
        <w:rPr>
          <w:rFonts w:cs="Arial"/>
          <w:sz w:val="24"/>
          <w:szCs w:val="24"/>
        </w:rPr>
      </w:pPr>
    </w:p>
    <w:tbl>
      <w:tblPr>
        <w:tblStyle w:val="TableGrid"/>
        <w:tblW w:w="0" w:type="auto"/>
        <w:tblLook w:val="01E0" w:firstRow="1" w:lastRow="1" w:firstColumn="1" w:lastColumn="1" w:noHBand="0" w:noVBand="0"/>
        <w:tblCaption w:val="Box listing paper author and sponsoring Director"/>
        <w:tblDescription w:val="Box states: Duncan Robertson, Senior Policy and Risk Officer, Author. Cath Denholm, Director of Strategy, Sponsoring Director."/>
      </w:tblPr>
      <w:tblGrid>
        <w:gridCol w:w="4108"/>
        <w:gridCol w:w="4188"/>
      </w:tblGrid>
      <w:tr w:rsidR="00355798" w:rsidRPr="001C7811" w14:paraId="6B5CDC06" w14:textId="77777777" w:rsidTr="004008E1">
        <w:tc>
          <w:tcPr>
            <w:tcW w:w="4608" w:type="dxa"/>
          </w:tcPr>
          <w:p w14:paraId="130FAC60" w14:textId="77777777" w:rsidR="00355798" w:rsidRPr="001C7811" w:rsidRDefault="00626C10" w:rsidP="00C57FD7">
            <w:pPr>
              <w:pStyle w:val="CMTsubheading"/>
              <w:rPr>
                <w:rFonts w:cs="Arial"/>
                <w:sz w:val="24"/>
                <w:szCs w:val="24"/>
              </w:rPr>
            </w:pPr>
            <w:r w:rsidRPr="001C7811">
              <w:rPr>
                <w:rFonts w:cs="Arial"/>
                <w:sz w:val="24"/>
                <w:szCs w:val="24"/>
              </w:rPr>
              <w:t>Duncan Robertson</w:t>
            </w:r>
          </w:p>
          <w:p w14:paraId="57B5CA66" w14:textId="57107842" w:rsidR="00355798" w:rsidRPr="001C7811" w:rsidRDefault="00D631CD" w:rsidP="00A20A46">
            <w:pPr>
              <w:rPr>
                <w:rFonts w:cs="Arial"/>
                <w:b/>
                <w:sz w:val="24"/>
                <w:szCs w:val="24"/>
              </w:rPr>
            </w:pPr>
            <w:r>
              <w:rPr>
                <w:rFonts w:cs="Arial"/>
                <w:b/>
                <w:sz w:val="24"/>
                <w:szCs w:val="24"/>
              </w:rPr>
              <w:t xml:space="preserve">Senior </w:t>
            </w:r>
            <w:r w:rsidR="00A20A46">
              <w:rPr>
                <w:rFonts w:cs="Arial"/>
                <w:b/>
                <w:sz w:val="24"/>
                <w:szCs w:val="24"/>
              </w:rPr>
              <w:t xml:space="preserve">Policy, </w:t>
            </w:r>
            <w:r w:rsidR="00626C10" w:rsidRPr="001C7811">
              <w:rPr>
                <w:rFonts w:cs="Arial"/>
                <w:b/>
                <w:sz w:val="24"/>
                <w:szCs w:val="24"/>
              </w:rPr>
              <w:t xml:space="preserve">Risk </w:t>
            </w:r>
            <w:r w:rsidR="00A20A46">
              <w:rPr>
                <w:rFonts w:cs="Arial"/>
                <w:b/>
                <w:sz w:val="24"/>
                <w:szCs w:val="24"/>
              </w:rPr>
              <w:t xml:space="preserve">and Data Protection </w:t>
            </w:r>
            <w:r w:rsidR="00626C10" w:rsidRPr="001C7811">
              <w:rPr>
                <w:rFonts w:cs="Arial"/>
                <w:b/>
                <w:sz w:val="24"/>
                <w:szCs w:val="24"/>
              </w:rPr>
              <w:t>Officer</w:t>
            </w:r>
          </w:p>
        </w:tc>
        <w:tc>
          <w:tcPr>
            <w:tcW w:w="4736" w:type="dxa"/>
          </w:tcPr>
          <w:p w14:paraId="742293BA" w14:textId="77777777" w:rsidR="001A5AB4" w:rsidRPr="001C7811" w:rsidRDefault="001A5AB4" w:rsidP="00C57FD7">
            <w:pPr>
              <w:pStyle w:val="CMTsubheading"/>
              <w:rPr>
                <w:rFonts w:cs="Arial"/>
                <w:sz w:val="24"/>
                <w:szCs w:val="24"/>
              </w:rPr>
            </w:pPr>
            <w:r w:rsidRPr="001C7811">
              <w:rPr>
                <w:rFonts w:cs="Arial"/>
                <w:sz w:val="24"/>
                <w:szCs w:val="24"/>
              </w:rPr>
              <w:t>Cath Denholm</w:t>
            </w:r>
          </w:p>
          <w:p w14:paraId="6D8A3D41" w14:textId="77777777" w:rsidR="00355798" w:rsidRPr="001C7811" w:rsidRDefault="001A5AB4" w:rsidP="009C7367">
            <w:pPr>
              <w:rPr>
                <w:rFonts w:cs="Arial"/>
                <w:b/>
                <w:sz w:val="24"/>
                <w:szCs w:val="24"/>
              </w:rPr>
            </w:pPr>
            <w:r w:rsidRPr="001C7811">
              <w:rPr>
                <w:rFonts w:cs="Arial"/>
                <w:b/>
                <w:sz w:val="24"/>
                <w:szCs w:val="24"/>
              </w:rPr>
              <w:t xml:space="preserve">Director of </w:t>
            </w:r>
            <w:r w:rsidR="009C7367" w:rsidRPr="001C7811">
              <w:rPr>
                <w:rFonts w:cs="Arial"/>
                <w:b/>
                <w:sz w:val="24"/>
                <w:szCs w:val="24"/>
              </w:rPr>
              <w:t>Strategy</w:t>
            </w:r>
          </w:p>
        </w:tc>
      </w:tr>
    </w:tbl>
    <w:p w14:paraId="6471C44B" w14:textId="77777777" w:rsidR="00355798" w:rsidRPr="001C7811" w:rsidRDefault="00355798" w:rsidP="00324DD5">
      <w:pPr>
        <w:rPr>
          <w:rFonts w:cs="Arial"/>
          <w:sz w:val="24"/>
          <w:szCs w:val="24"/>
        </w:rPr>
      </w:pPr>
    </w:p>
    <w:p w14:paraId="198E3F09" w14:textId="33CFF41F" w:rsidR="0020598D" w:rsidRDefault="00D56909" w:rsidP="00630783">
      <w:pPr>
        <w:rPr>
          <w:rFonts w:cs="Arial"/>
          <w:sz w:val="24"/>
          <w:szCs w:val="24"/>
        </w:rPr>
      </w:pPr>
      <w:r>
        <w:rPr>
          <w:rFonts w:cs="Arial"/>
          <w:b/>
          <w:sz w:val="24"/>
          <w:szCs w:val="24"/>
        </w:rPr>
        <w:t xml:space="preserve">11 June 2019 </w:t>
      </w:r>
    </w:p>
    <w:p w14:paraId="6A3EAAD9" w14:textId="77777777" w:rsidR="0020598D" w:rsidRPr="0020598D" w:rsidRDefault="0020598D" w:rsidP="0020598D">
      <w:pPr>
        <w:rPr>
          <w:rFonts w:cs="Arial"/>
          <w:sz w:val="24"/>
          <w:szCs w:val="24"/>
        </w:rPr>
      </w:pPr>
    </w:p>
    <w:p w14:paraId="3E0E5858" w14:textId="77777777" w:rsidR="0020598D" w:rsidRPr="0020598D" w:rsidRDefault="0020598D" w:rsidP="0020598D">
      <w:pPr>
        <w:rPr>
          <w:rFonts w:cs="Arial"/>
          <w:sz w:val="24"/>
          <w:szCs w:val="24"/>
        </w:rPr>
      </w:pPr>
    </w:p>
    <w:p w14:paraId="46AE5C4E" w14:textId="77777777" w:rsidR="0020598D" w:rsidRPr="0020598D" w:rsidRDefault="0020598D" w:rsidP="0020598D">
      <w:pPr>
        <w:rPr>
          <w:rFonts w:cs="Arial"/>
          <w:sz w:val="24"/>
          <w:szCs w:val="24"/>
        </w:rPr>
      </w:pPr>
    </w:p>
    <w:p w14:paraId="7363187E" w14:textId="77777777" w:rsidR="0020598D" w:rsidRPr="0020598D" w:rsidRDefault="0020598D" w:rsidP="0020598D">
      <w:pPr>
        <w:rPr>
          <w:rFonts w:cs="Arial"/>
          <w:sz w:val="24"/>
          <w:szCs w:val="24"/>
        </w:rPr>
      </w:pPr>
    </w:p>
    <w:p w14:paraId="58E9D20E" w14:textId="77777777" w:rsidR="0020598D" w:rsidRPr="0020598D" w:rsidRDefault="0020598D" w:rsidP="0020598D">
      <w:pPr>
        <w:rPr>
          <w:rFonts w:cs="Arial"/>
          <w:sz w:val="24"/>
          <w:szCs w:val="24"/>
        </w:rPr>
      </w:pPr>
    </w:p>
    <w:p w14:paraId="4BD51144" w14:textId="1D2C3F8D" w:rsidR="0020598D" w:rsidRDefault="0020598D" w:rsidP="0020598D">
      <w:pPr>
        <w:rPr>
          <w:rFonts w:cs="Arial"/>
          <w:sz w:val="24"/>
          <w:szCs w:val="24"/>
        </w:rPr>
      </w:pPr>
    </w:p>
    <w:p w14:paraId="458EBD3E" w14:textId="0FFED622" w:rsidR="0020598D" w:rsidRDefault="0020598D" w:rsidP="0020598D">
      <w:pPr>
        <w:rPr>
          <w:rFonts w:cs="Arial"/>
          <w:sz w:val="24"/>
          <w:szCs w:val="24"/>
        </w:rPr>
      </w:pPr>
    </w:p>
    <w:p w14:paraId="3E698B54" w14:textId="1405D408" w:rsidR="0020598D" w:rsidRDefault="0020598D" w:rsidP="0020598D">
      <w:pPr>
        <w:tabs>
          <w:tab w:val="left" w:pos="6900"/>
        </w:tabs>
        <w:rPr>
          <w:rFonts w:cs="Arial"/>
          <w:sz w:val="24"/>
          <w:szCs w:val="24"/>
        </w:rPr>
      </w:pPr>
      <w:r>
        <w:rPr>
          <w:rFonts w:cs="Arial"/>
          <w:sz w:val="24"/>
          <w:szCs w:val="24"/>
        </w:rPr>
        <w:tab/>
      </w:r>
    </w:p>
    <w:p w14:paraId="581F8E24" w14:textId="4D9CD0DF" w:rsidR="00355798" w:rsidRPr="0020598D" w:rsidRDefault="0020598D" w:rsidP="0020598D">
      <w:pPr>
        <w:tabs>
          <w:tab w:val="left" w:pos="6900"/>
        </w:tabs>
        <w:rPr>
          <w:rFonts w:cs="Arial"/>
          <w:sz w:val="24"/>
          <w:szCs w:val="24"/>
        </w:rPr>
        <w:sectPr w:rsidR="00355798" w:rsidRPr="0020598D" w:rsidSect="0055706B">
          <w:footerReference w:type="even" r:id="rId15"/>
          <w:footerReference w:type="default" r:id="rId16"/>
          <w:pgSz w:w="11906" w:h="16838"/>
          <w:pgMar w:top="1440" w:right="1800" w:bottom="1440" w:left="1800" w:header="708" w:footer="708" w:gutter="0"/>
          <w:cols w:space="708"/>
          <w:docGrid w:linePitch="360"/>
        </w:sectPr>
      </w:pPr>
      <w:r>
        <w:rPr>
          <w:rFonts w:cs="Arial"/>
          <w:sz w:val="24"/>
          <w:szCs w:val="24"/>
        </w:rPr>
        <w:tab/>
      </w:r>
    </w:p>
    <w:p w14:paraId="01150960" w14:textId="77777777" w:rsidR="00355798" w:rsidRDefault="001A5AB4" w:rsidP="00360470">
      <w:pPr>
        <w:pStyle w:val="CMTsubheading"/>
        <w:spacing w:after="0"/>
        <w:rPr>
          <w:rFonts w:cs="Arial"/>
          <w:sz w:val="24"/>
          <w:szCs w:val="24"/>
        </w:rPr>
      </w:pPr>
      <w:r w:rsidRPr="001C7811">
        <w:rPr>
          <w:rFonts w:cs="Arial"/>
          <w:sz w:val="24"/>
          <w:szCs w:val="24"/>
        </w:rPr>
        <w:lastRenderedPageBreak/>
        <w:t>ANNUAL RISK REPORT</w:t>
      </w:r>
      <w:bookmarkStart w:id="0" w:name="_GoBack"/>
      <w:bookmarkEnd w:id="0"/>
    </w:p>
    <w:p w14:paraId="1F1557D5" w14:textId="77777777" w:rsidR="001C7811" w:rsidRPr="001C7811" w:rsidRDefault="001C7811" w:rsidP="001C7811"/>
    <w:p w14:paraId="10D74373" w14:textId="2422F652" w:rsidR="00355798" w:rsidRPr="001C7811" w:rsidRDefault="00355798" w:rsidP="003F44B8">
      <w:pPr>
        <w:pStyle w:val="CMTsubheading"/>
        <w:rPr>
          <w:rFonts w:cs="Arial"/>
          <w:sz w:val="24"/>
          <w:szCs w:val="24"/>
        </w:rPr>
      </w:pPr>
      <w:r w:rsidRPr="001C7811">
        <w:rPr>
          <w:rFonts w:cs="Arial"/>
          <w:sz w:val="24"/>
          <w:szCs w:val="24"/>
        </w:rPr>
        <w:t xml:space="preserve">Purpose </w:t>
      </w:r>
    </w:p>
    <w:p w14:paraId="2D43532E" w14:textId="413F5617" w:rsidR="00355798" w:rsidRPr="001C7811" w:rsidRDefault="001A5AB4" w:rsidP="003F44B8">
      <w:pPr>
        <w:pStyle w:val="CMTNumbered2"/>
        <w:jc w:val="left"/>
        <w:rPr>
          <w:rFonts w:cs="Arial"/>
          <w:sz w:val="24"/>
          <w:szCs w:val="24"/>
        </w:rPr>
      </w:pPr>
      <w:r w:rsidRPr="001C7811">
        <w:rPr>
          <w:rFonts w:cs="Arial"/>
          <w:sz w:val="24"/>
          <w:szCs w:val="24"/>
        </w:rPr>
        <w:t xml:space="preserve">The purpose </w:t>
      </w:r>
      <w:r w:rsidR="002A0995" w:rsidRPr="001C7811">
        <w:rPr>
          <w:rFonts w:cs="Arial"/>
          <w:sz w:val="24"/>
          <w:szCs w:val="24"/>
        </w:rPr>
        <w:t xml:space="preserve">of this paper is </w:t>
      </w:r>
      <w:r w:rsidR="008374BC" w:rsidRPr="001C7811">
        <w:rPr>
          <w:rFonts w:cs="Arial"/>
          <w:sz w:val="24"/>
          <w:szCs w:val="24"/>
        </w:rPr>
        <w:t xml:space="preserve">to </w:t>
      </w:r>
      <w:r w:rsidR="002A0995" w:rsidRPr="001C7811">
        <w:rPr>
          <w:rFonts w:cs="Arial"/>
          <w:sz w:val="24"/>
          <w:szCs w:val="24"/>
        </w:rPr>
        <w:t xml:space="preserve">report to the </w:t>
      </w:r>
      <w:r w:rsidR="00D56909">
        <w:rPr>
          <w:rFonts w:cs="Arial"/>
          <w:sz w:val="24"/>
          <w:szCs w:val="24"/>
        </w:rPr>
        <w:t>Board</w:t>
      </w:r>
      <w:r w:rsidRPr="001C7811">
        <w:rPr>
          <w:rFonts w:cs="Arial"/>
          <w:sz w:val="24"/>
          <w:szCs w:val="24"/>
        </w:rPr>
        <w:t xml:space="preserve"> on the Risk Management arrangements within NHS Health Scotland</w:t>
      </w:r>
      <w:r w:rsidR="00694DB8" w:rsidRPr="001C7811">
        <w:rPr>
          <w:rFonts w:cs="Arial"/>
          <w:sz w:val="24"/>
          <w:szCs w:val="24"/>
        </w:rPr>
        <w:t xml:space="preserve">, to </w:t>
      </w:r>
      <w:r w:rsidRPr="001C7811">
        <w:rPr>
          <w:rFonts w:cs="Arial"/>
          <w:sz w:val="24"/>
          <w:szCs w:val="24"/>
        </w:rPr>
        <w:t>provide assurance that risk is adequately and appropriately managed</w:t>
      </w:r>
      <w:r w:rsidR="009C7367" w:rsidRPr="001C7811">
        <w:rPr>
          <w:rFonts w:cs="Arial"/>
          <w:sz w:val="24"/>
          <w:szCs w:val="24"/>
        </w:rPr>
        <w:t xml:space="preserve">. </w:t>
      </w:r>
    </w:p>
    <w:p w14:paraId="0ADAD6FB" w14:textId="77777777" w:rsidR="00355798" w:rsidRPr="001C7811" w:rsidRDefault="00355798" w:rsidP="003F44B8">
      <w:pPr>
        <w:pStyle w:val="CMTsubheading"/>
        <w:rPr>
          <w:rFonts w:cs="Arial"/>
          <w:sz w:val="24"/>
          <w:szCs w:val="24"/>
        </w:rPr>
      </w:pPr>
      <w:r w:rsidRPr="001C7811">
        <w:rPr>
          <w:rFonts w:cs="Arial"/>
          <w:sz w:val="24"/>
          <w:szCs w:val="24"/>
        </w:rPr>
        <w:t>Background</w:t>
      </w:r>
    </w:p>
    <w:p w14:paraId="08760D0D" w14:textId="77777777" w:rsidR="00292C31" w:rsidRPr="001C7811" w:rsidRDefault="009C7367" w:rsidP="003F44B8">
      <w:pPr>
        <w:pStyle w:val="CMTNumbered2"/>
        <w:jc w:val="left"/>
        <w:rPr>
          <w:rFonts w:cs="Arial"/>
          <w:sz w:val="24"/>
          <w:szCs w:val="24"/>
        </w:rPr>
      </w:pPr>
      <w:r w:rsidRPr="001C7811">
        <w:rPr>
          <w:rFonts w:cs="Arial"/>
          <w:sz w:val="24"/>
          <w:szCs w:val="24"/>
        </w:rPr>
        <w:t>The R</w:t>
      </w:r>
      <w:r w:rsidR="00292C31" w:rsidRPr="001C7811">
        <w:rPr>
          <w:rFonts w:cs="Arial"/>
          <w:sz w:val="24"/>
          <w:szCs w:val="24"/>
        </w:rPr>
        <w:t>isk Protocol requires that the annual report includes;</w:t>
      </w:r>
    </w:p>
    <w:p w14:paraId="33DF6DD9" w14:textId="77777777" w:rsidR="00292C31" w:rsidRPr="001C7811" w:rsidRDefault="00C26A72" w:rsidP="00C310F4">
      <w:pPr>
        <w:pStyle w:val="CMTNumbered2"/>
        <w:numPr>
          <w:ilvl w:val="1"/>
          <w:numId w:val="1"/>
        </w:numPr>
        <w:tabs>
          <w:tab w:val="num" w:pos="1134"/>
        </w:tabs>
        <w:ind w:left="1134" w:hanging="567"/>
        <w:jc w:val="left"/>
        <w:rPr>
          <w:rFonts w:cs="Arial"/>
          <w:sz w:val="24"/>
          <w:szCs w:val="24"/>
        </w:rPr>
      </w:pPr>
      <w:r w:rsidRPr="001C7811">
        <w:rPr>
          <w:rFonts w:cs="Arial"/>
          <w:sz w:val="24"/>
          <w:szCs w:val="24"/>
        </w:rPr>
        <w:t>An update</w:t>
      </w:r>
      <w:r w:rsidR="00292C31" w:rsidRPr="001C7811">
        <w:rPr>
          <w:rFonts w:cs="Arial"/>
          <w:sz w:val="24"/>
          <w:szCs w:val="24"/>
        </w:rPr>
        <w:t xml:space="preserve"> on what improvements have been made to risk management.</w:t>
      </w:r>
    </w:p>
    <w:p w14:paraId="1D85EFEB" w14:textId="77777777" w:rsidR="00292C31" w:rsidRPr="001C7811" w:rsidRDefault="00A2754F" w:rsidP="00C310F4">
      <w:pPr>
        <w:pStyle w:val="CMTNumbered2"/>
        <w:numPr>
          <w:ilvl w:val="1"/>
          <w:numId w:val="1"/>
        </w:numPr>
        <w:tabs>
          <w:tab w:val="num" w:pos="1134"/>
        </w:tabs>
        <w:ind w:left="1134" w:hanging="567"/>
        <w:jc w:val="left"/>
        <w:rPr>
          <w:rFonts w:cs="Arial"/>
          <w:sz w:val="24"/>
          <w:szCs w:val="24"/>
        </w:rPr>
      </w:pPr>
      <w:r w:rsidRPr="001C7811">
        <w:rPr>
          <w:rFonts w:cs="Arial"/>
          <w:sz w:val="24"/>
          <w:szCs w:val="24"/>
        </w:rPr>
        <w:t>An update on any changes following</w:t>
      </w:r>
      <w:r w:rsidR="00292C31" w:rsidRPr="001C7811">
        <w:rPr>
          <w:rFonts w:cs="Arial"/>
          <w:sz w:val="24"/>
          <w:szCs w:val="24"/>
        </w:rPr>
        <w:t xml:space="preserve"> review of the risk protocol</w:t>
      </w:r>
      <w:r w:rsidR="00DF4BB8" w:rsidRPr="001C7811">
        <w:rPr>
          <w:rFonts w:cs="Arial"/>
          <w:sz w:val="24"/>
          <w:szCs w:val="24"/>
        </w:rPr>
        <w:t xml:space="preserve"> or policy</w:t>
      </w:r>
      <w:r w:rsidR="00292C31" w:rsidRPr="001C7811">
        <w:rPr>
          <w:rFonts w:cs="Arial"/>
          <w:sz w:val="24"/>
          <w:szCs w:val="24"/>
        </w:rPr>
        <w:t>.</w:t>
      </w:r>
    </w:p>
    <w:p w14:paraId="3651D08B" w14:textId="77777777" w:rsidR="00292C31" w:rsidRPr="001C7811" w:rsidRDefault="00292C31" w:rsidP="00C310F4">
      <w:pPr>
        <w:pStyle w:val="CMTNumbered2"/>
        <w:numPr>
          <w:ilvl w:val="1"/>
          <w:numId w:val="1"/>
        </w:numPr>
        <w:tabs>
          <w:tab w:val="num" w:pos="1134"/>
        </w:tabs>
        <w:ind w:left="1134" w:hanging="567"/>
        <w:jc w:val="left"/>
        <w:rPr>
          <w:rFonts w:cs="Arial"/>
          <w:sz w:val="24"/>
          <w:szCs w:val="24"/>
        </w:rPr>
      </w:pPr>
      <w:r w:rsidRPr="001C7811">
        <w:rPr>
          <w:rFonts w:cs="Arial"/>
          <w:sz w:val="24"/>
          <w:szCs w:val="24"/>
        </w:rPr>
        <w:t>A statement of what further developments are planned for the next year including target dates.</w:t>
      </w:r>
    </w:p>
    <w:p w14:paraId="7BBA2F3C" w14:textId="761332CB" w:rsidR="00A03B41" w:rsidRDefault="008635F3" w:rsidP="003F44B8">
      <w:pPr>
        <w:pStyle w:val="CMTNumbered2"/>
        <w:jc w:val="left"/>
        <w:rPr>
          <w:rFonts w:cs="Arial"/>
          <w:sz w:val="24"/>
          <w:szCs w:val="24"/>
        </w:rPr>
      </w:pPr>
      <w:r w:rsidRPr="001C7811">
        <w:rPr>
          <w:rFonts w:cs="Arial"/>
          <w:sz w:val="24"/>
          <w:szCs w:val="24"/>
        </w:rPr>
        <w:t>T</w:t>
      </w:r>
      <w:r w:rsidR="001A5AB4" w:rsidRPr="001C7811">
        <w:rPr>
          <w:rFonts w:cs="Arial"/>
          <w:sz w:val="24"/>
          <w:szCs w:val="24"/>
        </w:rPr>
        <w:t xml:space="preserve">he management of risk within </w:t>
      </w:r>
      <w:r w:rsidR="002A0995" w:rsidRPr="001C7811">
        <w:rPr>
          <w:rFonts w:cs="Arial"/>
          <w:sz w:val="24"/>
          <w:szCs w:val="24"/>
        </w:rPr>
        <w:t xml:space="preserve">NHS </w:t>
      </w:r>
      <w:r w:rsidR="001A5AB4" w:rsidRPr="001C7811">
        <w:rPr>
          <w:rFonts w:cs="Arial"/>
          <w:sz w:val="24"/>
          <w:szCs w:val="24"/>
        </w:rPr>
        <w:t>Health Scotl</w:t>
      </w:r>
      <w:r w:rsidR="002A0995" w:rsidRPr="001C7811">
        <w:rPr>
          <w:rFonts w:cs="Arial"/>
          <w:sz w:val="24"/>
          <w:szCs w:val="24"/>
        </w:rPr>
        <w:t xml:space="preserve">and has improved </w:t>
      </w:r>
      <w:r w:rsidR="005C5930">
        <w:rPr>
          <w:rFonts w:cs="Arial"/>
          <w:sz w:val="24"/>
          <w:szCs w:val="24"/>
        </w:rPr>
        <w:t>year on year</w:t>
      </w:r>
      <w:r w:rsidR="002A0995" w:rsidRPr="001C7811">
        <w:rPr>
          <w:rFonts w:cs="Arial"/>
          <w:sz w:val="24"/>
          <w:szCs w:val="24"/>
        </w:rPr>
        <w:t>.</w:t>
      </w:r>
      <w:r w:rsidR="001A5AB4" w:rsidRPr="001C7811">
        <w:rPr>
          <w:rFonts w:cs="Arial"/>
          <w:sz w:val="24"/>
          <w:szCs w:val="24"/>
        </w:rPr>
        <w:t xml:space="preserve"> The way in which risk is used continues to mature and is subject to continu</w:t>
      </w:r>
      <w:r w:rsidR="002A0995" w:rsidRPr="001C7811">
        <w:rPr>
          <w:rFonts w:cs="Arial"/>
          <w:sz w:val="24"/>
          <w:szCs w:val="24"/>
        </w:rPr>
        <w:t>ous improvement and refinement.</w:t>
      </w:r>
      <w:r w:rsidR="001A5AB4" w:rsidRPr="001C7811">
        <w:rPr>
          <w:rFonts w:cs="Arial"/>
          <w:sz w:val="24"/>
          <w:szCs w:val="24"/>
        </w:rPr>
        <w:t xml:space="preserve"> </w:t>
      </w:r>
    </w:p>
    <w:p w14:paraId="30B304F0" w14:textId="77777777" w:rsidR="00355798" w:rsidRPr="001C7811" w:rsidRDefault="001A5AB4" w:rsidP="003F44B8">
      <w:pPr>
        <w:pStyle w:val="CMTNumbered2"/>
        <w:jc w:val="left"/>
        <w:rPr>
          <w:rFonts w:cs="Arial"/>
          <w:sz w:val="24"/>
          <w:szCs w:val="24"/>
        </w:rPr>
      </w:pPr>
      <w:r w:rsidRPr="001C7811">
        <w:rPr>
          <w:rFonts w:cs="Arial"/>
          <w:sz w:val="24"/>
          <w:szCs w:val="24"/>
        </w:rPr>
        <w:t>There is still work to do to fully embed risk at all levels, but progress continues to be made and risk is currently adequately and appropriately managed.</w:t>
      </w:r>
      <w:r w:rsidR="003B48BF">
        <w:rPr>
          <w:rFonts w:cs="Arial"/>
          <w:sz w:val="24"/>
          <w:szCs w:val="24"/>
        </w:rPr>
        <w:t xml:space="preserve"> This was reflected in the Internal Audit of Risk Management (April 2017) which categorised NHS Health Scotland Risk Management as B (Broadly Satisfactory).</w:t>
      </w:r>
    </w:p>
    <w:p w14:paraId="5ED133A4" w14:textId="77777777" w:rsidR="001A5AB4" w:rsidRPr="001C7811" w:rsidRDefault="00677AC1" w:rsidP="003F44B8">
      <w:pPr>
        <w:pStyle w:val="CMTsubheading"/>
        <w:rPr>
          <w:rFonts w:cs="Arial"/>
          <w:sz w:val="24"/>
          <w:szCs w:val="24"/>
        </w:rPr>
      </w:pPr>
      <w:r w:rsidRPr="001C7811">
        <w:rPr>
          <w:rFonts w:cs="Arial"/>
          <w:sz w:val="24"/>
          <w:szCs w:val="24"/>
        </w:rPr>
        <w:t>Key Highlights</w:t>
      </w:r>
    </w:p>
    <w:p w14:paraId="1AB70D39" w14:textId="77777777" w:rsidR="001A5AB4" w:rsidRPr="001C7811" w:rsidRDefault="00677AC1" w:rsidP="003F44B8">
      <w:pPr>
        <w:pStyle w:val="CMTNumbered2"/>
        <w:jc w:val="left"/>
        <w:rPr>
          <w:rFonts w:cs="Arial"/>
          <w:sz w:val="24"/>
          <w:szCs w:val="24"/>
        </w:rPr>
      </w:pPr>
      <w:r w:rsidRPr="001C7811">
        <w:rPr>
          <w:rFonts w:cs="Arial"/>
          <w:sz w:val="24"/>
          <w:szCs w:val="24"/>
        </w:rPr>
        <w:t>Key highlights;</w:t>
      </w:r>
    </w:p>
    <w:p w14:paraId="53C1633E" w14:textId="56E1988F" w:rsidR="00344187" w:rsidRDefault="00344187" w:rsidP="00344187">
      <w:pPr>
        <w:pStyle w:val="CMTNumbered2"/>
        <w:numPr>
          <w:ilvl w:val="1"/>
          <w:numId w:val="1"/>
        </w:numPr>
        <w:tabs>
          <w:tab w:val="num" w:pos="1134"/>
        </w:tabs>
        <w:ind w:left="1134" w:hanging="567"/>
        <w:jc w:val="left"/>
        <w:rPr>
          <w:rFonts w:cs="Arial"/>
          <w:sz w:val="24"/>
          <w:szCs w:val="24"/>
        </w:rPr>
      </w:pPr>
      <w:r>
        <w:rPr>
          <w:rFonts w:cs="Arial"/>
          <w:sz w:val="24"/>
          <w:szCs w:val="24"/>
        </w:rPr>
        <w:t xml:space="preserve"> </w:t>
      </w:r>
      <w:r w:rsidR="004374B2" w:rsidRPr="001C7811">
        <w:rPr>
          <w:rFonts w:cs="Arial"/>
          <w:sz w:val="24"/>
          <w:szCs w:val="24"/>
        </w:rPr>
        <w:t xml:space="preserve">We have </w:t>
      </w:r>
      <w:r w:rsidR="005C5930">
        <w:rPr>
          <w:rFonts w:cs="Arial"/>
          <w:sz w:val="24"/>
          <w:szCs w:val="24"/>
        </w:rPr>
        <w:t>completed</w:t>
      </w:r>
      <w:r w:rsidR="004374B2" w:rsidRPr="001C7811">
        <w:rPr>
          <w:rFonts w:cs="Arial"/>
          <w:sz w:val="24"/>
          <w:szCs w:val="24"/>
        </w:rPr>
        <w:t xml:space="preserve"> an improvement project</w:t>
      </w:r>
      <w:r w:rsidR="00702195">
        <w:rPr>
          <w:rFonts w:cs="Arial"/>
          <w:sz w:val="24"/>
          <w:szCs w:val="24"/>
        </w:rPr>
        <w:t xml:space="preserve"> for the Master Risk Register (MRR)</w:t>
      </w:r>
      <w:r w:rsidR="004374B2" w:rsidRPr="001C7811">
        <w:rPr>
          <w:rFonts w:cs="Arial"/>
          <w:sz w:val="24"/>
          <w:szCs w:val="24"/>
        </w:rPr>
        <w:t xml:space="preserve"> to improve the usefulness of our approach to risk</w:t>
      </w:r>
      <w:r w:rsidR="00702195">
        <w:rPr>
          <w:rFonts w:cs="Arial"/>
          <w:sz w:val="24"/>
          <w:szCs w:val="24"/>
        </w:rPr>
        <w:t xml:space="preserve"> and the information recorded</w:t>
      </w:r>
      <w:r w:rsidR="004374B2" w:rsidRPr="001C7811">
        <w:rPr>
          <w:rFonts w:cs="Arial"/>
          <w:sz w:val="24"/>
          <w:szCs w:val="24"/>
        </w:rPr>
        <w:t>.</w:t>
      </w:r>
      <w:r w:rsidR="005C5930">
        <w:rPr>
          <w:rFonts w:cs="Arial"/>
          <w:sz w:val="24"/>
          <w:szCs w:val="24"/>
        </w:rPr>
        <w:t xml:space="preserve"> This involved</w:t>
      </w:r>
      <w:r w:rsidR="00702195">
        <w:rPr>
          <w:rFonts w:cs="Arial"/>
          <w:sz w:val="24"/>
          <w:szCs w:val="24"/>
        </w:rPr>
        <w:t xml:space="preserve"> a complete refresh of </w:t>
      </w:r>
      <w:r w:rsidR="006548F5">
        <w:rPr>
          <w:rFonts w:cs="Arial"/>
          <w:sz w:val="24"/>
          <w:szCs w:val="24"/>
        </w:rPr>
        <w:t xml:space="preserve">all </w:t>
      </w:r>
      <w:r w:rsidR="00702195">
        <w:rPr>
          <w:rFonts w:cs="Arial"/>
          <w:sz w:val="24"/>
          <w:szCs w:val="24"/>
        </w:rPr>
        <w:t xml:space="preserve">the </w:t>
      </w:r>
      <w:r w:rsidR="00BA1E2E">
        <w:rPr>
          <w:rFonts w:cs="Arial"/>
          <w:sz w:val="24"/>
          <w:szCs w:val="24"/>
        </w:rPr>
        <w:t xml:space="preserve">risks recorded in the </w:t>
      </w:r>
      <w:r w:rsidR="006548F5">
        <w:rPr>
          <w:rFonts w:cs="Arial"/>
          <w:sz w:val="24"/>
          <w:szCs w:val="24"/>
        </w:rPr>
        <w:t xml:space="preserve">MRR, and moving </w:t>
      </w:r>
      <w:r w:rsidR="005C5930">
        <w:rPr>
          <w:rFonts w:cs="Arial"/>
          <w:sz w:val="24"/>
          <w:szCs w:val="24"/>
        </w:rPr>
        <w:t xml:space="preserve">MRR </w:t>
      </w:r>
      <w:r w:rsidR="006548F5">
        <w:rPr>
          <w:rFonts w:cs="Arial"/>
          <w:sz w:val="24"/>
          <w:szCs w:val="24"/>
        </w:rPr>
        <w:t>reporting to the Corporate Planning Tool (CPT).</w:t>
      </w:r>
    </w:p>
    <w:p w14:paraId="2499E192" w14:textId="77777777" w:rsidR="00344187" w:rsidRDefault="004374B2" w:rsidP="00344187">
      <w:pPr>
        <w:pStyle w:val="CMTNumbered2"/>
        <w:numPr>
          <w:ilvl w:val="1"/>
          <w:numId w:val="1"/>
        </w:numPr>
        <w:tabs>
          <w:tab w:val="num" w:pos="1134"/>
        </w:tabs>
        <w:ind w:left="1134" w:hanging="567"/>
        <w:jc w:val="left"/>
        <w:rPr>
          <w:rFonts w:cs="Arial"/>
          <w:sz w:val="24"/>
          <w:szCs w:val="24"/>
        </w:rPr>
      </w:pPr>
      <w:r w:rsidRPr="00344187">
        <w:rPr>
          <w:rFonts w:cs="Arial"/>
          <w:sz w:val="24"/>
          <w:szCs w:val="24"/>
        </w:rPr>
        <w:t>Our Corporate Risk Register</w:t>
      </w:r>
      <w:r w:rsidR="00DD1D90" w:rsidRPr="00344187">
        <w:rPr>
          <w:rFonts w:cs="Arial"/>
          <w:sz w:val="24"/>
          <w:szCs w:val="24"/>
        </w:rPr>
        <w:t xml:space="preserve"> (CRR)</w:t>
      </w:r>
      <w:r w:rsidRPr="00344187">
        <w:rPr>
          <w:rFonts w:cs="Arial"/>
          <w:sz w:val="24"/>
          <w:szCs w:val="24"/>
        </w:rPr>
        <w:t xml:space="preserve"> is more accurate, better integrated into planning and performance, and the risks more transparently governed, by revising our</w:t>
      </w:r>
      <w:r w:rsidR="007E0850" w:rsidRPr="00344187">
        <w:rPr>
          <w:rFonts w:cs="Arial"/>
          <w:sz w:val="24"/>
          <w:szCs w:val="24"/>
        </w:rPr>
        <w:t xml:space="preserve"> approach to </w:t>
      </w:r>
      <w:r w:rsidRPr="00344187">
        <w:rPr>
          <w:rFonts w:cs="Arial"/>
          <w:sz w:val="24"/>
          <w:szCs w:val="24"/>
        </w:rPr>
        <w:t xml:space="preserve">developing, tracking and reporting on the </w:t>
      </w:r>
      <w:r w:rsidR="006548F5" w:rsidRPr="00344187">
        <w:rPr>
          <w:rFonts w:cs="Arial"/>
          <w:sz w:val="24"/>
          <w:szCs w:val="24"/>
        </w:rPr>
        <w:t>CRR</w:t>
      </w:r>
      <w:r w:rsidR="007E0850" w:rsidRPr="00344187">
        <w:rPr>
          <w:rFonts w:cs="Arial"/>
          <w:sz w:val="24"/>
          <w:szCs w:val="24"/>
        </w:rPr>
        <w:t>.</w:t>
      </w:r>
      <w:r w:rsidR="006548F5" w:rsidRPr="00344187">
        <w:rPr>
          <w:rFonts w:cs="Arial"/>
          <w:sz w:val="24"/>
          <w:szCs w:val="24"/>
        </w:rPr>
        <w:t xml:space="preserve"> Reporting on CRR risks has moved from </w:t>
      </w:r>
      <w:r w:rsidR="00C7409A" w:rsidRPr="00344187">
        <w:rPr>
          <w:rFonts w:cs="Arial"/>
          <w:sz w:val="24"/>
          <w:szCs w:val="24"/>
        </w:rPr>
        <w:t>quarterly to monthly, to ensure the timeliness of informatio</w:t>
      </w:r>
      <w:r w:rsidR="00E41925" w:rsidRPr="00344187">
        <w:rPr>
          <w:rFonts w:cs="Arial"/>
          <w:sz w:val="24"/>
          <w:szCs w:val="24"/>
        </w:rPr>
        <w:t xml:space="preserve">n presented in the risk updates, and </w:t>
      </w:r>
      <w:r w:rsidR="005C5930" w:rsidRPr="00344187">
        <w:rPr>
          <w:rFonts w:cs="Arial"/>
          <w:sz w:val="24"/>
          <w:szCs w:val="24"/>
        </w:rPr>
        <w:t xml:space="preserve">CRR reporting was </w:t>
      </w:r>
      <w:r w:rsidR="00E41925" w:rsidRPr="00344187">
        <w:rPr>
          <w:rFonts w:cs="Arial"/>
          <w:sz w:val="24"/>
          <w:szCs w:val="24"/>
        </w:rPr>
        <w:t>also moved to the CPT.</w:t>
      </w:r>
    </w:p>
    <w:p w14:paraId="0A818330" w14:textId="3E6F76FB" w:rsidR="00171383" w:rsidRPr="001C7811" w:rsidRDefault="00D56909" w:rsidP="00344187">
      <w:pPr>
        <w:pStyle w:val="CMTNumbered2"/>
        <w:numPr>
          <w:ilvl w:val="1"/>
          <w:numId w:val="1"/>
        </w:numPr>
        <w:tabs>
          <w:tab w:val="num" w:pos="1134"/>
        </w:tabs>
        <w:ind w:left="1134" w:hanging="567"/>
        <w:jc w:val="left"/>
        <w:rPr>
          <w:rFonts w:cs="Arial"/>
          <w:sz w:val="24"/>
          <w:szCs w:val="24"/>
        </w:rPr>
      </w:pPr>
      <w:r>
        <w:rPr>
          <w:rFonts w:cs="Arial"/>
          <w:sz w:val="24"/>
          <w:szCs w:val="24"/>
        </w:rPr>
        <w:t xml:space="preserve"> </w:t>
      </w:r>
      <w:r w:rsidR="00171383">
        <w:rPr>
          <w:rFonts w:cs="Arial"/>
          <w:sz w:val="24"/>
          <w:szCs w:val="24"/>
        </w:rPr>
        <w:t xml:space="preserve">We also dealt with the implications of the Board’s decision to suspend meetings of the Health Governance Committee on the management of risk by agreeing that management of Risk 18-6 </w:t>
      </w:r>
      <w:r w:rsidR="001A2B0C">
        <w:rPr>
          <w:rFonts w:cs="Arial"/>
          <w:sz w:val="24"/>
          <w:szCs w:val="24"/>
        </w:rPr>
        <w:t xml:space="preserve">(and subsequently Risk 19-6 in 2019/20) </w:t>
      </w:r>
      <w:r w:rsidR="00171383">
        <w:rPr>
          <w:rFonts w:cs="Arial"/>
          <w:sz w:val="24"/>
          <w:szCs w:val="24"/>
        </w:rPr>
        <w:t xml:space="preserve">is now carried out directly by the Board by </w:t>
      </w:r>
      <w:r w:rsidR="00CD4973">
        <w:rPr>
          <w:rFonts w:cs="Arial"/>
          <w:sz w:val="24"/>
          <w:szCs w:val="24"/>
        </w:rPr>
        <w:t xml:space="preserve">direct and regular </w:t>
      </w:r>
      <w:r w:rsidR="00171383">
        <w:rPr>
          <w:rFonts w:cs="Arial"/>
          <w:sz w:val="24"/>
          <w:szCs w:val="24"/>
        </w:rPr>
        <w:t>oversight of the</w:t>
      </w:r>
      <w:r w:rsidR="00CD4973">
        <w:rPr>
          <w:rFonts w:cs="Arial"/>
          <w:sz w:val="24"/>
          <w:szCs w:val="24"/>
        </w:rPr>
        <w:t xml:space="preserve"> Risk 19-6, which is largely mitigated by the Transition and Influence Plan agreed with the Board in March 2019.</w:t>
      </w:r>
      <w:r w:rsidR="00171383">
        <w:rPr>
          <w:rFonts w:cs="Arial"/>
          <w:sz w:val="24"/>
          <w:szCs w:val="24"/>
        </w:rPr>
        <w:t xml:space="preserve"> </w:t>
      </w:r>
    </w:p>
    <w:p w14:paraId="68DF5E30" w14:textId="77777777" w:rsidR="009C7367" w:rsidRPr="001C7811" w:rsidRDefault="009C7367" w:rsidP="003F44B8">
      <w:pPr>
        <w:pStyle w:val="CMTsubheading"/>
        <w:rPr>
          <w:rFonts w:cs="Arial"/>
          <w:sz w:val="24"/>
          <w:szCs w:val="24"/>
        </w:rPr>
      </w:pPr>
      <w:r w:rsidRPr="001C7811">
        <w:rPr>
          <w:rFonts w:cs="Arial"/>
          <w:sz w:val="24"/>
          <w:szCs w:val="24"/>
        </w:rPr>
        <w:lastRenderedPageBreak/>
        <w:t xml:space="preserve">Policy and Protocol </w:t>
      </w:r>
    </w:p>
    <w:p w14:paraId="5C2D5218" w14:textId="6F5AB684" w:rsidR="00CB0D90" w:rsidRDefault="002A0995" w:rsidP="003F44B8">
      <w:pPr>
        <w:pStyle w:val="CMTNumbered2"/>
        <w:jc w:val="left"/>
        <w:rPr>
          <w:rFonts w:cs="Arial"/>
          <w:sz w:val="24"/>
          <w:szCs w:val="24"/>
        </w:rPr>
      </w:pPr>
      <w:r w:rsidRPr="001C7811">
        <w:rPr>
          <w:rFonts w:cs="Arial"/>
          <w:sz w:val="24"/>
          <w:szCs w:val="24"/>
        </w:rPr>
        <w:t>The Management of Risk P</w:t>
      </w:r>
      <w:r w:rsidR="009C7367" w:rsidRPr="001C7811">
        <w:rPr>
          <w:rFonts w:cs="Arial"/>
          <w:sz w:val="24"/>
          <w:szCs w:val="24"/>
        </w:rPr>
        <w:t xml:space="preserve">olicy </w:t>
      </w:r>
      <w:r w:rsidR="00966421" w:rsidRPr="001C7811">
        <w:rPr>
          <w:rFonts w:cs="Arial"/>
          <w:sz w:val="24"/>
          <w:szCs w:val="24"/>
        </w:rPr>
        <w:t>was</w:t>
      </w:r>
      <w:r w:rsidR="00367B45" w:rsidRPr="001C7811">
        <w:rPr>
          <w:rFonts w:cs="Arial"/>
          <w:sz w:val="24"/>
          <w:szCs w:val="24"/>
        </w:rPr>
        <w:t xml:space="preserve"> last reviewed </w:t>
      </w:r>
      <w:r w:rsidR="00B33C4E">
        <w:rPr>
          <w:rFonts w:cs="Arial"/>
          <w:sz w:val="24"/>
          <w:szCs w:val="24"/>
        </w:rPr>
        <w:t xml:space="preserve">and updated </w:t>
      </w:r>
      <w:r w:rsidR="00367B45" w:rsidRPr="001C7811">
        <w:rPr>
          <w:rFonts w:cs="Arial"/>
          <w:sz w:val="24"/>
          <w:szCs w:val="24"/>
        </w:rPr>
        <w:t xml:space="preserve">in </w:t>
      </w:r>
      <w:r w:rsidR="00B33C4E">
        <w:rPr>
          <w:rFonts w:cs="Arial"/>
          <w:sz w:val="24"/>
          <w:szCs w:val="24"/>
        </w:rPr>
        <w:t>April 2017</w:t>
      </w:r>
      <w:r w:rsidR="00886BDE">
        <w:rPr>
          <w:rFonts w:cs="Arial"/>
          <w:sz w:val="24"/>
          <w:szCs w:val="24"/>
        </w:rPr>
        <w:t xml:space="preserve">. </w:t>
      </w:r>
      <w:r w:rsidR="009C7367" w:rsidRPr="001C7811">
        <w:rPr>
          <w:rFonts w:cs="Arial"/>
          <w:sz w:val="24"/>
          <w:szCs w:val="24"/>
        </w:rPr>
        <w:t xml:space="preserve">The </w:t>
      </w:r>
      <w:r w:rsidR="00CB0D90" w:rsidRPr="001C7811">
        <w:rPr>
          <w:rFonts w:cs="Arial"/>
          <w:sz w:val="24"/>
          <w:szCs w:val="24"/>
        </w:rPr>
        <w:t xml:space="preserve">Policy </w:t>
      </w:r>
      <w:r w:rsidR="00367B45" w:rsidRPr="001C7811">
        <w:rPr>
          <w:rFonts w:cs="Arial"/>
          <w:sz w:val="24"/>
          <w:szCs w:val="24"/>
        </w:rPr>
        <w:t xml:space="preserve">is reviewed on a biennial basis, and </w:t>
      </w:r>
      <w:r w:rsidR="00D9603A">
        <w:rPr>
          <w:rFonts w:cs="Arial"/>
          <w:sz w:val="24"/>
          <w:szCs w:val="24"/>
        </w:rPr>
        <w:t>was</w:t>
      </w:r>
      <w:r w:rsidR="00367B45" w:rsidRPr="001C7811">
        <w:rPr>
          <w:rFonts w:cs="Arial"/>
          <w:sz w:val="24"/>
          <w:szCs w:val="24"/>
        </w:rPr>
        <w:t xml:space="preserve"> </w:t>
      </w:r>
      <w:r w:rsidR="00B33C4E">
        <w:rPr>
          <w:rFonts w:cs="Arial"/>
          <w:sz w:val="24"/>
          <w:szCs w:val="24"/>
        </w:rPr>
        <w:t xml:space="preserve">therefore </w:t>
      </w:r>
      <w:r w:rsidR="00367B45" w:rsidRPr="001C7811">
        <w:rPr>
          <w:rFonts w:cs="Arial"/>
          <w:sz w:val="24"/>
          <w:szCs w:val="24"/>
        </w:rPr>
        <w:t xml:space="preserve">due for review by </w:t>
      </w:r>
      <w:r w:rsidR="008F0E66">
        <w:rPr>
          <w:rFonts w:cs="Arial"/>
          <w:sz w:val="24"/>
          <w:szCs w:val="24"/>
        </w:rPr>
        <w:t>May</w:t>
      </w:r>
      <w:r w:rsidR="00B33C4E">
        <w:rPr>
          <w:rFonts w:cs="Arial"/>
          <w:sz w:val="24"/>
          <w:szCs w:val="24"/>
        </w:rPr>
        <w:t xml:space="preserve"> 2019</w:t>
      </w:r>
      <w:r w:rsidR="00367B45" w:rsidRPr="001C7811">
        <w:rPr>
          <w:rFonts w:cs="Arial"/>
          <w:sz w:val="24"/>
          <w:szCs w:val="24"/>
        </w:rPr>
        <w:t>.</w:t>
      </w:r>
      <w:r w:rsidR="008F0E66">
        <w:rPr>
          <w:rFonts w:cs="Arial"/>
          <w:sz w:val="24"/>
          <w:szCs w:val="24"/>
        </w:rPr>
        <w:t xml:space="preserve"> However, following the approach to policy reviews endorsed by the Partnership Forum and Staff Governance Committee</w:t>
      </w:r>
      <w:r w:rsidR="00990871" w:rsidRPr="001C7811">
        <w:rPr>
          <w:rFonts w:cs="Arial"/>
          <w:sz w:val="24"/>
          <w:szCs w:val="24"/>
        </w:rPr>
        <w:t xml:space="preserve"> </w:t>
      </w:r>
      <w:r w:rsidR="008F0E66">
        <w:rPr>
          <w:rFonts w:cs="Arial"/>
          <w:sz w:val="24"/>
          <w:szCs w:val="24"/>
        </w:rPr>
        <w:t xml:space="preserve">in light of the upcoming Once </w:t>
      </w:r>
      <w:proofErr w:type="gramStart"/>
      <w:r w:rsidR="008F0E66">
        <w:rPr>
          <w:rFonts w:cs="Arial"/>
          <w:sz w:val="24"/>
          <w:szCs w:val="24"/>
        </w:rPr>
        <w:t>For</w:t>
      </w:r>
      <w:proofErr w:type="gramEnd"/>
      <w:r w:rsidR="008F0E66">
        <w:rPr>
          <w:rFonts w:cs="Arial"/>
          <w:sz w:val="24"/>
          <w:szCs w:val="24"/>
        </w:rPr>
        <w:t xml:space="preserve"> Scotland policy approach, it has been agreed that organisational policies will only be reviewed in instances where there is a mandatory/legislative change or under direction from the Partnership Forum and Staff Governance Committee. Therefore we are currently permitting policies to go </w:t>
      </w:r>
      <w:proofErr w:type="spellStart"/>
      <w:r w:rsidR="008F0E66">
        <w:rPr>
          <w:rFonts w:cs="Arial"/>
          <w:sz w:val="24"/>
          <w:szCs w:val="24"/>
        </w:rPr>
        <w:t>outwith</w:t>
      </w:r>
      <w:proofErr w:type="spellEnd"/>
      <w:r w:rsidR="008F0E66">
        <w:rPr>
          <w:rFonts w:cs="Arial"/>
          <w:sz w:val="24"/>
          <w:szCs w:val="24"/>
        </w:rPr>
        <w:t xml:space="preserve"> their review dates (unless as otherwise stated).</w:t>
      </w:r>
    </w:p>
    <w:p w14:paraId="51B349D2" w14:textId="77DCEF71" w:rsidR="009C7367" w:rsidRDefault="00990871" w:rsidP="003F44B8">
      <w:pPr>
        <w:pStyle w:val="CMTNumbered2"/>
        <w:jc w:val="left"/>
        <w:rPr>
          <w:rFonts w:cs="Arial"/>
          <w:sz w:val="24"/>
          <w:szCs w:val="24"/>
        </w:rPr>
      </w:pPr>
      <w:r w:rsidRPr="001C7811">
        <w:rPr>
          <w:rFonts w:cs="Arial"/>
          <w:sz w:val="24"/>
          <w:szCs w:val="24"/>
        </w:rPr>
        <w:t>The P</w:t>
      </w:r>
      <w:r w:rsidR="00966421" w:rsidRPr="001C7811">
        <w:rPr>
          <w:rFonts w:cs="Arial"/>
          <w:sz w:val="24"/>
          <w:szCs w:val="24"/>
        </w:rPr>
        <w:t xml:space="preserve">rotocol </w:t>
      </w:r>
      <w:r w:rsidR="00CB0D90">
        <w:rPr>
          <w:rFonts w:cs="Arial"/>
          <w:sz w:val="24"/>
          <w:szCs w:val="24"/>
        </w:rPr>
        <w:t xml:space="preserve">for the Management of Risk </w:t>
      </w:r>
      <w:r w:rsidR="00966421" w:rsidRPr="001C7811">
        <w:rPr>
          <w:rFonts w:cs="Arial"/>
          <w:sz w:val="24"/>
          <w:szCs w:val="24"/>
        </w:rPr>
        <w:t xml:space="preserve">was last reviewed in </w:t>
      </w:r>
      <w:r w:rsidR="000E686A" w:rsidRPr="001C7811">
        <w:rPr>
          <w:rFonts w:cs="Arial"/>
          <w:sz w:val="24"/>
          <w:szCs w:val="24"/>
        </w:rPr>
        <w:t>April</w:t>
      </w:r>
      <w:r w:rsidR="00886BDE">
        <w:rPr>
          <w:rFonts w:cs="Arial"/>
          <w:sz w:val="24"/>
          <w:szCs w:val="24"/>
        </w:rPr>
        <w:t xml:space="preserve"> 2017</w:t>
      </w:r>
      <w:r w:rsidR="00B33C4E">
        <w:rPr>
          <w:rFonts w:cs="Arial"/>
          <w:sz w:val="24"/>
          <w:szCs w:val="24"/>
        </w:rPr>
        <w:t>,</w:t>
      </w:r>
      <w:r w:rsidR="00886BDE">
        <w:rPr>
          <w:rFonts w:cs="Arial"/>
          <w:sz w:val="24"/>
          <w:szCs w:val="24"/>
        </w:rPr>
        <w:t xml:space="preserve"> and was </w:t>
      </w:r>
      <w:r w:rsidR="00B33C4E">
        <w:rPr>
          <w:rFonts w:cs="Arial"/>
          <w:sz w:val="24"/>
          <w:szCs w:val="24"/>
        </w:rPr>
        <w:t xml:space="preserve">updated and presented to the Audit Committee for </w:t>
      </w:r>
      <w:r w:rsidR="005C5CE9">
        <w:rPr>
          <w:rFonts w:cs="Arial"/>
          <w:sz w:val="24"/>
          <w:szCs w:val="24"/>
        </w:rPr>
        <w:t>approval on behalf of the Board</w:t>
      </w:r>
      <w:r w:rsidR="00B33C4E">
        <w:rPr>
          <w:rFonts w:cs="Arial"/>
          <w:sz w:val="24"/>
          <w:szCs w:val="24"/>
        </w:rPr>
        <w:t xml:space="preserve"> </w:t>
      </w:r>
      <w:r w:rsidR="00886BDE">
        <w:rPr>
          <w:rFonts w:cs="Arial"/>
          <w:sz w:val="24"/>
          <w:szCs w:val="24"/>
        </w:rPr>
        <w:t>in June 2017</w:t>
      </w:r>
      <w:r w:rsidR="00B33C4E">
        <w:rPr>
          <w:rFonts w:cs="Arial"/>
          <w:sz w:val="24"/>
          <w:szCs w:val="24"/>
        </w:rPr>
        <w:t>.</w:t>
      </w:r>
      <w:r w:rsidR="006C6941">
        <w:rPr>
          <w:rFonts w:cs="Arial"/>
          <w:sz w:val="24"/>
          <w:szCs w:val="24"/>
        </w:rPr>
        <w:t xml:space="preserve"> The Protocol</w:t>
      </w:r>
      <w:r w:rsidR="005A6E35">
        <w:rPr>
          <w:rFonts w:cs="Arial"/>
          <w:sz w:val="24"/>
          <w:szCs w:val="24"/>
        </w:rPr>
        <w:t xml:space="preserve"> </w:t>
      </w:r>
      <w:r w:rsidR="008F0E66">
        <w:rPr>
          <w:rFonts w:cs="Arial"/>
          <w:sz w:val="24"/>
          <w:szCs w:val="24"/>
        </w:rPr>
        <w:t>has</w:t>
      </w:r>
      <w:r w:rsidR="009A7DFA">
        <w:rPr>
          <w:rFonts w:cs="Arial"/>
          <w:sz w:val="24"/>
          <w:szCs w:val="24"/>
        </w:rPr>
        <w:t xml:space="preserve"> now been reviewed </w:t>
      </w:r>
      <w:r w:rsidR="00B10424">
        <w:rPr>
          <w:rFonts w:cs="Arial"/>
          <w:sz w:val="24"/>
          <w:szCs w:val="24"/>
        </w:rPr>
        <w:t xml:space="preserve">as scheduled (requiring only minor edits, around risks now being reported and saved on the CPT) </w:t>
      </w:r>
      <w:r w:rsidR="009A7DFA">
        <w:rPr>
          <w:rFonts w:cs="Arial"/>
          <w:sz w:val="24"/>
          <w:szCs w:val="24"/>
        </w:rPr>
        <w:t>and</w:t>
      </w:r>
      <w:r w:rsidR="008F0E66">
        <w:rPr>
          <w:rFonts w:cs="Arial"/>
          <w:sz w:val="24"/>
          <w:szCs w:val="24"/>
        </w:rPr>
        <w:t xml:space="preserve"> </w:t>
      </w:r>
      <w:r w:rsidR="005A6E35">
        <w:rPr>
          <w:rFonts w:cs="Arial"/>
          <w:sz w:val="24"/>
          <w:szCs w:val="24"/>
        </w:rPr>
        <w:t>was approved</w:t>
      </w:r>
      <w:r w:rsidR="008F0E66">
        <w:rPr>
          <w:rFonts w:cs="Arial"/>
          <w:sz w:val="24"/>
          <w:szCs w:val="24"/>
        </w:rPr>
        <w:t xml:space="preserve"> </w:t>
      </w:r>
      <w:r w:rsidR="00D9603A">
        <w:rPr>
          <w:rFonts w:cs="Arial"/>
          <w:sz w:val="24"/>
          <w:szCs w:val="24"/>
        </w:rPr>
        <w:t xml:space="preserve">by </w:t>
      </w:r>
      <w:r w:rsidR="008F0E66">
        <w:rPr>
          <w:rFonts w:cs="Arial"/>
          <w:sz w:val="24"/>
          <w:szCs w:val="24"/>
        </w:rPr>
        <w:t xml:space="preserve">the Audit Committee as part of </w:t>
      </w:r>
      <w:r w:rsidR="005A6E35">
        <w:rPr>
          <w:rFonts w:cs="Arial"/>
          <w:sz w:val="24"/>
          <w:szCs w:val="24"/>
        </w:rPr>
        <w:t>the Annual Risk Report</w:t>
      </w:r>
      <w:r w:rsidR="008F0E66">
        <w:rPr>
          <w:rFonts w:cs="Arial"/>
          <w:sz w:val="24"/>
          <w:szCs w:val="24"/>
        </w:rPr>
        <w:t xml:space="preserve"> </w:t>
      </w:r>
      <w:r w:rsidR="005A6E35">
        <w:rPr>
          <w:rFonts w:cs="Arial"/>
          <w:sz w:val="24"/>
          <w:szCs w:val="24"/>
        </w:rPr>
        <w:t>in June 2019.</w:t>
      </w:r>
    </w:p>
    <w:p w14:paraId="479B30C2" w14:textId="003915CF" w:rsidR="002C09DA" w:rsidRPr="0099190C" w:rsidRDefault="00CB0D90" w:rsidP="0099190C">
      <w:pPr>
        <w:pStyle w:val="CMTNumbered2"/>
        <w:jc w:val="left"/>
        <w:rPr>
          <w:rFonts w:cs="Arial"/>
          <w:sz w:val="24"/>
          <w:szCs w:val="24"/>
        </w:rPr>
      </w:pPr>
      <w:r>
        <w:rPr>
          <w:rFonts w:cs="Arial"/>
          <w:sz w:val="24"/>
          <w:szCs w:val="24"/>
        </w:rPr>
        <w:t xml:space="preserve">The </w:t>
      </w:r>
      <w:r w:rsidR="00C8244C">
        <w:rPr>
          <w:rFonts w:cs="Arial"/>
          <w:sz w:val="24"/>
          <w:szCs w:val="24"/>
        </w:rPr>
        <w:t xml:space="preserve">previous </w:t>
      </w:r>
      <w:r>
        <w:rPr>
          <w:rFonts w:cs="Arial"/>
          <w:sz w:val="24"/>
          <w:szCs w:val="24"/>
        </w:rPr>
        <w:t xml:space="preserve">updates to both the </w:t>
      </w:r>
      <w:r w:rsidRPr="001C7811">
        <w:rPr>
          <w:rFonts w:cs="Arial"/>
          <w:sz w:val="24"/>
          <w:szCs w:val="24"/>
        </w:rPr>
        <w:t xml:space="preserve">Management of Risk </w:t>
      </w:r>
      <w:r>
        <w:rPr>
          <w:rFonts w:cs="Arial"/>
          <w:sz w:val="24"/>
          <w:szCs w:val="24"/>
        </w:rPr>
        <w:t>Policy and Protocol included the recommendation from the Internal Audit</w:t>
      </w:r>
      <w:r w:rsidR="00F54277">
        <w:rPr>
          <w:rFonts w:cs="Arial"/>
          <w:sz w:val="24"/>
          <w:szCs w:val="24"/>
        </w:rPr>
        <w:t xml:space="preserve"> to refer to the involvement of</w:t>
      </w:r>
      <w:r>
        <w:rPr>
          <w:rFonts w:cs="Arial"/>
          <w:sz w:val="24"/>
          <w:szCs w:val="24"/>
        </w:rPr>
        <w:t xml:space="preserve"> CMT </w:t>
      </w:r>
      <w:r w:rsidR="00F54277">
        <w:rPr>
          <w:rFonts w:cs="Arial"/>
          <w:sz w:val="24"/>
          <w:szCs w:val="24"/>
        </w:rPr>
        <w:t xml:space="preserve">and the Board </w:t>
      </w:r>
      <w:r>
        <w:rPr>
          <w:rFonts w:cs="Arial"/>
          <w:sz w:val="24"/>
          <w:szCs w:val="24"/>
        </w:rPr>
        <w:t xml:space="preserve">in the process of </w:t>
      </w:r>
      <w:r w:rsidR="00F54277">
        <w:rPr>
          <w:rFonts w:cs="Arial"/>
          <w:sz w:val="24"/>
          <w:szCs w:val="24"/>
        </w:rPr>
        <w:t>drafting and approving</w:t>
      </w:r>
      <w:r>
        <w:rPr>
          <w:rFonts w:cs="Arial"/>
          <w:sz w:val="24"/>
          <w:szCs w:val="24"/>
        </w:rPr>
        <w:t xml:space="preserve"> the CRR.</w:t>
      </w:r>
      <w:r w:rsidR="00542AF2">
        <w:rPr>
          <w:rFonts w:cs="Arial"/>
          <w:sz w:val="24"/>
          <w:szCs w:val="24"/>
        </w:rPr>
        <w:t xml:space="preserve"> Both documents also now contain the Risk Categories</w:t>
      </w:r>
      <w:r w:rsidR="008B44F1">
        <w:rPr>
          <w:rFonts w:cs="Arial"/>
          <w:sz w:val="24"/>
          <w:szCs w:val="24"/>
        </w:rPr>
        <w:t xml:space="preserve"> agreed by the Board</w:t>
      </w:r>
      <w:r w:rsidR="00542AF2">
        <w:rPr>
          <w:rFonts w:cs="Arial"/>
          <w:sz w:val="24"/>
          <w:szCs w:val="24"/>
        </w:rPr>
        <w:t xml:space="preserve"> and associated Risk Appetites.</w:t>
      </w:r>
      <w:r w:rsidR="009A7DFA">
        <w:rPr>
          <w:rFonts w:cs="Arial"/>
          <w:sz w:val="24"/>
          <w:szCs w:val="24"/>
        </w:rPr>
        <w:t xml:space="preserve"> The updated Protocol now includes direction on considering the previous year’s CRR when drafting the new CRR and when refreshing the MRR.</w:t>
      </w:r>
    </w:p>
    <w:p w14:paraId="4B2BFD8D" w14:textId="265B99B9" w:rsidR="001A5AB4" w:rsidRPr="001C7811" w:rsidRDefault="009C7367" w:rsidP="003F44B8">
      <w:pPr>
        <w:pStyle w:val="CMTsubheading"/>
        <w:rPr>
          <w:rFonts w:cs="Arial"/>
          <w:sz w:val="24"/>
          <w:szCs w:val="24"/>
        </w:rPr>
      </w:pPr>
      <w:r w:rsidRPr="001C7811">
        <w:rPr>
          <w:rFonts w:cs="Arial"/>
          <w:sz w:val="24"/>
          <w:szCs w:val="24"/>
        </w:rPr>
        <w:t>Corporate Risk Register (CRR)</w:t>
      </w:r>
      <w:r w:rsidR="00F154E6">
        <w:rPr>
          <w:rFonts w:cs="Arial"/>
          <w:sz w:val="24"/>
          <w:szCs w:val="24"/>
        </w:rPr>
        <w:t xml:space="preserve"> 2018</w:t>
      </w:r>
      <w:r w:rsidR="000D700B" w:rsidRPr="001C7811">
        <w:rPr>
          <w:rFonts w:cs="Arial"/>
          <w:sz w:val="24"/>
          <w:szCs w:val="24"/>
        </w:rPr>
        <w:t>/</w:t>
      </w:r>
      <w:r w:rsidR="00F154E6">
        <w:rPr>
          <w:rFonts w:cs="Arial"/>
          <w:sz w:val="24"/>
          <w:szCs w:val="24"/>
        </w:rPr>
        <w:t>19 and 2019/20</w:t>
      </w:r>
    </w:p>
    <w:p w14:paraId="71AAD586" w14:textId="3432A287" w:rsidR="000D700B" w:rsidRPr="001C7811" w:rsidRDefault="009C7367" w:rsidP="003F44B8">
      <w:pPr>
        <w:pStyle w:val="CMTNumbered2"/>
        <w:jc w:val="left"/>
        <w:rPr>
          <w:rFonts w:cs="Arial"/>
          <w:sz w:val="24"/>
          <w:szCs w:val="24"/>
        </w:rPr>
      </w:pPr>
      <w:r w:rsidRPr="001C7811">
        <w:rPr>
          <w:rFonts w:cs="Arial"/>
          <w:sz w:val="24"/>
          <w:szCs w:val="24"/>
        </w:rPr>
        <w:t xml:space="preserve">In line with the previous decision of the Board, the CRR was </w:t>
      </w:r>
      <w:r w:rsidR="00017227">
        <w:rPr>
          <w:rFonts w:cs="Arial"/>
          <w:sz w:val="24"/>
          <w:szCs w:val="24"/>
        </w:rPr>
        <w:t>reviewed and updated</w:t>
      </w:r>
      <w:r w:rsidRPr="001C7811">
        <w:rPr>
          <w:rFonts w:cs="Arial"/>
          <w:sz w:val="24"/>
          <w:szCs w:val="24"/>
        </w:rPr>
        <w:t xml:space="preserve"> in-year</w:t>
      </w:r>
      <w:r w:rsidR="00017227">
        <w:rPr>
          <w:rFonts w:cs="Arial"/>
          <w:sz w:val="24"/>
          <w:szCs w:val="24"/>
        </w:rPr>
        <w:t xml:space="preserve"> by the nominated leads for each risk</w:t>
      </w:r>
      <w:r w:rsidR="000D700B" w:rsidRPr="001C7811">
        <w:rPr>
          <w:rFonts w:cs="Arial"/>
          <w:sz w:val="24"/>
          <w:szCs w:val="24"/>
        </w:rPr>
        <w:t>.</w:t>
      </w:r>
      <w:r w:rsidR="00017227">
        <w:rPr>
          <w:rFonts w:cs="Arial"/>
          <w:sz w:val="24"/>
          <w:szCs w:val="24"/>
        </w:rPr>
        <w:t xml:space="preserve"> Updates were presented to the meetings of the relevant Governance Committees</w:t>
      </w:r>
      <w:r w:rsidR="009D0E92">
        <w:rPr>
          <w:rFonts w:cs="Arial"/>
          <w:sz w:val="24"/>
          <w:szCs w:val="24"/>
        </w:rPr>
        <w:t>/Board meetings</w:t>
      </w:r>
      <w:r w:rsidR="00017227">
        <w:rPr>
          <w:rFonts w:cs="Arial"/>
          <w:sz w:val="24"/>
          <w:szCs w:val="24"/>
        </w:rPr>
        <w:t>, and an update to the entire CRR presented to the Board as part of t</w:t>
      </w:r>
      <w:r w:rsidR="00941887">
        <w:rPr>
          <w:rFonts w:cs="Arial"/>
          <w:sz w:val="24"/>
          <w:szCs w:val="24"/>
        </w:rPr>
        <w:t xml:space="preserve">he Quarterly Performance Report, </w:t>
      </w:r>
      <w:r w:rsidR="00941887" w:rsidRPr="001C7811">
        <w:rPr>
          <w:rFonts w:cs="Arial"/>
          <w:sz w:val="24"/>
          <w:szCs w:val="24"/>
        </w:rPr>
        <w:t>to ensure more regular monitoring and reporting of risk management practices and outcomes.</w:t>
      </w:r>
      <w:r w:rsidR="00941887" w:rsidRPr="001C7811">
        <w:rPr>
          <w:rFonts w:cs="Arial"/>
          <w:b/>
          <w:sz w:val="24"/>
          <w:szCs w:val="24"/>
        </w:rPr>
        <w:t xml:space="preserve"> </w:t>
      </w:r>
      <w:r w:rsidR="000D700B" w:rsidRPr="001C7811">
        <w:rPr>
          <w:rFonts w:cs="Arial"/>
          <w:sz w:val="24"/>
          <w:szCs w:val="24"/>
        </w:rPr>
        <w:t xml:space="preserve"> </w:t>
      </w:r>
    </w:p>
    <w:p w14:paraId="61454D2E" w14:textId="641604BE" w:rsidR="009F7B86" w:rsidRDefault="0055335C" w:rsidP="003F44B8">
      <w:pPr>
        <w:pStyle w:val="CMTNumbered2"/>
        <w:jc w:val="left"/>
        <w:rPr>
          <w:rFonts w:cs="Arial"/>
          <w:sz w:val="24"/>
          <w:szCs w:val="24"/>
        </w:rPr>
      </w:pPr>
      <w:r w:rsidRPr="001C7811">
        <w:rPr>
          <w:rFonts w:cs="Arial"/>
          <w:sz w:val="24"/>
          <w:szCs w:val="24"/>
        </w:rPr>
        <w:t>An end of year review of</w:t>
      </w:r>
      <w:r w:rsidR="002811B0">
        <w:rPr>
          <w:rFonts w:cs="Arial"/>
          <w:sz w:val="24"/>
          <w:szCs w:val="24"/>
        </w:rPr>
        <w:t xml:space="preserve"> the </w:t>
      </w:r>
      <w:r w:rsidR="00322F5A">
        <w:rPr>
          <w:rFonts w:cs="Arial"/>
          <w:sz w:val="24"/>
          <w:szCs w:val="24"/>
        </w:rPr>
        <w:t>CRR 2018/19</w:t>
      </w:r>
      <w:r w:rsidR="000D700B" w:rsidRPr="00601F2D">
        <w:rPr>
          <w:rFonts w:cs="Arial"/>
          <w:sz w:val="24"/>
          <w:szCs w:val="24"/>
        </w:rPr>
        <w:t xml:space="preserve"> is included as Appendix 1</w:t>
      </w:r>
      <w:r w:rsidR="00A140C2" w:rsidRPr="00601F2D">
        <w:rPr>
          <w:rFonts w:cs="Arial"/>
          <w:sz w:val="24"/>
          <w:szCs w:val="24"/>
        </w:rPr>
        <w:t>.</w:t>
      </w:r>
      <w:r w:rsidR="006F55BD">
        <w:rPr>
          <w:rFonts w:cs="Arial"/>
          <w:sz w:val="24"/>
          <w:szCs w:val="24"/>
        </w:rPr>
        <w:t xml:space="preserve">  </w:t>
      </w:r>
    </w:p>
    <w:p w14:paraId="150B0D9D" w14:textId="4A34CF84" w:rsidR="006F55BD" w:rsidRPr="00601F2D" w:rsidRDefault="006F55BD" w:rsidP="003F44B8">
      <w:pPr>
        <w:pStyle w:val="CMTNumbered2"/>
        <w:jc w:val="left"/>
        <w:rPr>
          <w:rFonts w:cs="Arial"/>
          <w:sz w:val="24"/>
          <w:szCs w:val="24"/>
        </w:rPr>
      </w:pPr>
      <w:r>
        <w:rPr>
          <w:rFonts w:cs="Arial"/>
          <w:sz w:val="24"/>
          <w:szCs w:val="24"/>
        </w:rPr>
        <w:t>As at</w:t>
      </w:r>
      <w:r w:rsidR="00B5291E">
        <w:rPr>
          <w:rFonts w:cs="Arial"/>
          <w:sz w:val="24"/>
          <w:szCs w:val="24"/>
        </w:rPr>
        <w:t xml:space="preserve"> end of year no risk on CRR 2018/19</w:t>
      </w:r>
      <w:r>
        <w:rPr>
          <w:rFonts w:cs="Arial"/>
          <w:sz w:val="24"/>
          <w:szCs w:val="24"/>
        </w:rPr>
        <w:t xml:space="preserve"> has exceeded the Board risk appetite.</w:t>
      </w:r>
    </w:p>
    <w:p w14:paraId="5BFA1823" w14:textId="61A3868E" w:rsidR="009F7B86" w:rsidRDefault="009F7B86" w:rsidP="009F7B86">
      <w:pPr>
        <w:pStyle w:val="CMTNumbered2"/>
        <w:spacing w:after="0"/>
        <w:jc w:val="left"/>
        <w:rPr>
          <w:rFonts w:cs="Arial"/>
          <w:sz w:val="24"/>
          <w:szCs w:val="24"/>
        </w:rPr>
      </w:pPr>
      <w:r w:rsidRPr="00601F2D">
        <w:rPr>
          <w:rFonts w:cs="Arial"/>
          <w:sz w:val="24"/>
          <w:szCs w:val="24"/>
        </w:rPr>
        <w:t>The Corporate Management Team (</w:t>
      </w:r>
      <w:r w:rsidR="00322F5A">
        <w:rPr>
          <w:rFonts w:cs="Arial"/>
          <w:sz w:val="24"/>
          <w:szCs w:val="24"/>
        </w:rPr>
        <w:t>29/01/2019, 26/02/2019</w:t>
      </w:r>
      <w:r w:rsidRPr="00601F2D">
        <w:rPr>
          <w:rFonts w:cs="Arial"/>
          <w:sz w:val="24"/>
          <w:szCs w:val="24"/>
        </w:rPr>
        <w:t>)</w:t>
      </w:r>
      <w:r w:rsidR="00237355" w:rsidRPr="00601F2D">
        <w:rPr>
          <w:rFonts w:cs="Arial"/>
          <w:sz w:val="24"/>
          <w:szCs w:val="24"/>
        </w:rPr>
        <w:t xml:space="preserve"> </w:t>
      </w:r>
      <w:r w:rsidRPr="00601F2D">
        <w:rPr>
          <w:rFonts w:cs="Arial"/>
          <w:sz w:val="24"/>
          <w:szCs w:val="24"/>
        </w:rPr>
        <w:t xml:space="preserve">developed and </w:t>
      </w:r>
      <w:r w:rsidR="00237355" w:rsidRPr="00601F2D">
        <w:rPr>
          <w:rFonts w:cs="Arial"/>
          <w:sz w:val="24"/>
          <w:szCs w:val="24"/>
        </w:rPr>
        <w:t xml:space="preserve">agreed </w:t>
      </w:r>
      <w:r w:rsidRPr="00601F2D">
        <w:rPr>
          <w:rFonts w:cs="Arial"/>
          <w:sz w:val="24"/>
          <w:szCs w:val="24"/>
        </w:rPr>
        <w:t xml:space="preserve">a new </w:t>
      </w:r>
      <w:r w:rsidR="00322F5A">
        <w:rPr>
          <w:rFonts w:cs="Arial"/>
          <w:sz w:val="24"/>
          <w:szCs w:val="24"/>
        </w:rPr>
        <w:t>Corporate Risk Register for 2019/20. The final CRR 2019/20</w:t>
      </w:r>
      <w:r w:rsidRPr="00601F2D">
        <w:rPr>
          <w:rFonts w:cs="Arial"/>
          <w:sz w:val="24"/>
          <w:szCs w:val="24"/>
        </w:rPr>
        <w:t xml:space="preserve"> </w:t>
      </w:r>
      <w:r w:rsidR="008B453D" w:rsidRPr="00601F2D">
        <w:rPr>
          <w:rFonts w:cs="Arial"/>
          <w:sz w:val="24"/>
          <w:szCs w:val="24"/>
        </w:rPr>
        <w:t xml:space="preserve">was approved at the Board meeting on </w:t>
      </w:r>
      <w:r w:rsidR="00322F5A">
        <w:rPr>
          <w:rFonts w:cs="Arial"/>
          <w:sz w:val="24"/>
          <w:szCs w:val="24"/>
        </w:rPr>
        <w:t>22/03/2019</w:t>
      </w:r>
      <w:r w:rsidR="00B873F9">
        <w:rPr>
          <w:rFonts w:cs="Arial"/>
          <w:sz w:val="24"/>
          <w:szCs w:val="24"/>
        </w:rPr>
        <w:t xml:space="preserve"> (subject to suggested minor amendments)</w:t>
      </w:r>
      <w:r w:rsidR="008B453D" w:rsidRPr="00601F2D">
        <w:rPr>
          <w:rFonts w:cs="Arial"/>
          <w:sz w:val="24"/>
          <w:szCs w:val="24"/>
        </w:rPr>
        <w:t xml:space="preserve"> and </w:t>
      </w:r>
      <w:r w:rsidRPr="00601F2D">
        <w:rPr>
          <w:rFonts w:cs="Arial"/>
          <w:sz w:val="24"/>
          <w:szCs w:val="24"/>
        </w:rPr>
        <w:t>has been included as Appendix 2.</w:t>
      </w:r>
    </w:p>
    <w:p w14:paraId="1A48BBAD" w14:textId="77777777" w:rsidR="00EE573C" w:rsidRDefault="00EE573C" w:rsidP="007519CA">
      <w:pPr>
        <w:pStyle w:val="CMTNumbered2"/>
        <w:numPr>
          <w:ilvl w:val="0"/>
          <w:numId w:val="0"/>
        </w:numPr>
        <w:spacing w:after="0"/>
        <w:ind w:left="567"/>
        <w:jc w:val="left"/>
        <w:rPr>
          <w:rFonts w:cs="Arial"/>
          <w:sz w:val="24"/>
          <w:szCs w:val="24"/>
        </w:rPr>
      </w:pPr>
    </w:p>
    <w:p w14:paraId="7289BE57" w14:textId="4FD78651" w:rsidR="00EE573C" w:rsidRPr="00601F2D" w:rsidRDefault="00EE573C" w:rsidP="009F7B86">
      <w:pPr>
        <w:pStyle w:val="CMTNumbered2"/>
        <w:spacing w:after="0"/>
        <w:jc w:val="left"/>
        <w:rPr>
          <w:rFonts w:cs="Arial"/>
          <w:sz w:val="24"/>
          <w:szCs w:val="24"/>
        </w:rPr>
      </w:pPr>
      <w:r>
        <w:rPr>
          <w:rFonts w:cs="Arial"/>
          <w:sz w:val="24"/>
          <w:szCs w:val="24"/>
        </w:rPr>
        <w:t>Particular attention has also been paid to ensuring that the reporting of risk to the Board via the CRR and other routes (e.g. through matters normally managed via Directorate MMRs being highlighted in quarterly performance reports as relevant) reflects both risks associated with change and transition and those associated with delivery of core business.</w:t>
      </w:r>
    </w:p>
    <w:p w14:paraId="41CE6493" w14:textId="247CE277" w:rsidR="001A5AB4" w:rsidRPr="009F7B86" w:rsidRDefault="009C7367" w:rsidP="009F7B86">
      <w:pPr>
        <w:pStyle w:val="CMTNumbered2"/>
        <w:numPr>
          <w:ilvl w:val="0"/>
          <w:numId w:val="0"/>
        </w:numPr>
        <w:spacing w:after="0"/>
        <w:ind w:left="567"/>
        <w:jc w:val="left"/>
        <w:rPr>
          <w:rFonts w:cs="Arial"/>
          <w:sz w:val="24"/>
          <w:szCs w:val="24"/>
        </w:rPr>
      </w:pPr>
      <w:r w:rsidRPr="009F7B86">
        <w:rPr>
          <w:rFonts w:cs="Arial"/>
          <w:sz w:val="24"/>
          <w:szCs w:val="24"/>
        </w:rPr>
        <w:lastRenderedPageBreak/>
        <w:t xml:space="preserve"> </w:t>
      </w:r>
    </w:p>
    <w:p w14:paraId="00E97F26" w14:textId="1D70BCC9" w:rsidR="00941887" w:rsidRPr="001C7811" w:rsidRDefault="001D590E" w:rsidP="009F7B86">
      <w:pPr>
        <w:pStyle w:val="CMTsubheading"/>
        <w:keepNext/>
        <w:rPr>
          <w:rFonts w:cs="Arial"/>
          <w:sz w:val="24"/>
          <w:szCs w:val="24"/>
        </w:rPr>
      </w:pPr>
      <w:r>
        <w:rPr>
          <w:rFonts w:cs="Arial"/>
          <w:sz w:val="24"/>
          <w:szCs w:val="24"/>
        </w:rPr>
        <w:t>Improvement</w:t>
      </w:r>
      <w:r w:rsidR="00EA73A9">
        <w:rPr>
          <w:rFonts w:cs="Arial"/>
          <w:sz w:val="24"/>
          <w:szCs w:val="24"/>
        </w:rPr>
        <w:t>s</w:t>
      </w:r>
      <w:r>
        <w:rPr>
          <w:rFonts w:cs="Arial"/>
          <w:sz w:val="24"/>
          <w:szCs w:val="24"/>
        </w:rPr>
        <w:t xml:space="preserve"> </w:t>
      </w:r>
      <w:r w:rsidR="005C370A">
        <w:rPr>
          <w:rFonts w:cs="Arial"/>
          <w:sz w:val="24"/>
          <w:szCs w:val="24"/>
        </w:rPr>
        <w:t>to</w:t>
      </w:r>
      <w:r w:rsidR="007F1A31">
        <w:rPr>
          <w:rFonts w:cs="Arial"/>
          <w:sz w:val="24"/>
          <w:szCs w:val="24"/>
        </w:rPr>
        <w:t xml:space="preserve"> the</w:t>
      </w:r>
      <w:r w:rsidR="005C370A">
        <w:rPr>
          <w:rFonts w:cs="Arial"/>
          <w:sz w:val="24"/>
          <w:szCs w:val="24"/>
        </w:rPr>
        <w:t xml:space="preserve"> Master Risk Register (MRR) </w:t>
      </w:r>
    </w:p>
    <w:p w14:paraId="4B0F7E59" w14:textId="77777777" w:rsidR="000926FC" w:rsidRDefault="004E68F0" w:rsidP="00941887">
      <w:pPr>
        <w:pStyle w:val="CMTNumbered2"/>
        <w:jc w:val="left"/>
        <w:rPr>
          <w:rFonts w:cs="Arial"/>
          <w:sz w:val="24"/>
          <w:szCs w:val="24"/>
        </w:rPr>
      </w:pPr>
      <w:r>
        <w:rPr>
          <w:rFonts w:cs="Arial"/>
          <w:sz w:val="24"/>
          <w:szCs w:val="24"/>
        </w:rPr>
        <w:t>A full</w:t>
      </w:r>
      <w:r w:rsidR="009F7B86">
        <w:rPr>
          <w:rFonts w:cs="Arial"/>
          <w:sz w:val="24"/>
          <w:szCs w:val="24"/>
        </w:rPr>
        <w:t xml:space="preserve"> refresh of the entire NHSHS </w:t>
      </w:r>
      <w:r w:rsidR="00F15353" w:rsidRPr="00941887">
        <w:rPr>
          <w:rFonts w:cs="Arial"/>
          <w:sz w:val="24"/>
          <w:szCs w:val="24"/>
        </w:rPr>
        <w:t>MRR</w:t>
      </w:r>
      <w:r>
        <w:rPr>
          <w:rFonts w:cs="Arial"/>
          <w:sz w:val="24"/>
          <w:szCs w:val="24"/>
        </w:rPr>
        <w:t xml:space="preserve"> was completed in 2018</w:t>
      </w:r>
      <w:r w:rsidR="00F15353" w:rsidRPr="00941887">
        <w:rPr>
          <w:rFonts w:cs="Arial"/>
          <w:sz w:val="24"/>
          <w:szCs w:val="24"/>
        </w:rPr>
        <w:t xml:space="preserve">, by Directorate, </w:t>
      </w:r>
      <w:r w:rsidR="009F7B86">
        <w:rPr>
          <w:rFonts w:cs="Arial"/>
          <w:sz w:val="24"/>
          <w:szCs w:val="24"/>
        </w:rPr>
        <w:t xml:space="preserve">a process which started </w:t>
      </w:r>
      <w:r w:rsidR="00F15353" w:rsidRPr="00941887">
        <w:rPr>
          <w:rFonts w:cs="Arial"/>
          <w:sz w:val="24"/>
          <w:szCs w:val="24"/>
        </w:rPr>
        <w:t xml:space="preserve">with the Strategy Directorate. Once MRR risks </w:t>
      </w:r>
      <w:r w:rsidR="009F7B86">
        <w:rPr>
          <w:rFonts w:cs="Arial"/>
          <w:sz w:val="24"/>
          <w:szCs w:val="24"/>
        </w:rPr>
        <w:t>were</w:t>
      </w:r>
      <w:r w:rsidR="00F15353" w:rsidRPr="00941887">
        <w:rPr>
          <w:rFonts w:cs="Arial"/>
          <w:sz w:val="24"/>
          <w:szCs w:val="24"/>
        </w:rPr>
        <w:t xml:space="preserve"> identified and accurately described</w:t>
      </w:r>
      <w:r w:rsidR="00117BD1">
        <w:rPr>
          <w:rFonts w:cs="Arial"/>
          <w:sz w:val="24"/>
          <w:szCs w:val="24"/>
        </w:rPr>
        <w:t xml:space="preserve"> following work with the relevant teams</w:t>
      </w:r>
      <w:r w:rsidR="00F15353" w:rsidRPr="00941887">
        <w:rPr>
          <w:rFonts w:cs="Arial"/>
          <w:sz w:val="24"/>
          <w:szCs w:val="24"/>
        </w:rPr>
        <w:t xml:space="preserve">, they </w:t>
      </w:r>
      <w:r w:rsidR="009F7B86">
        <w:rPr>
          <w:rFonts w:cs="Arial"/>
          <w:sz w:val="24"/>
          <w:szCs w:val="24"/>
        </w:rPr>
        <w:t>were</w:t>
      </w:r>
      <w:r w:rsidR="00F15353" w:rsidRPr="00941887">
        <w:rPr>
          <w:rFonts w:cs="Arial"/>
          <w:sz w:val="24"/>
          <w:szCs w:val="24"/>
        </w:rPr>
        <w:t xml:space="preserve"> added to the Corporate Planning Tool (CPT)</w:t>
      </w:r>
      <w:r w:rsidR="009F7B86">
        <w:rPr>
          <w:rFonts w:cs="Arial"/>
          <w:sz w:val="24"/>
          <w:szCs w:val="24"/>
        </w:rPr>
        <w:t xml:space="preserve">, </w:t>
      </w:r>
      <w:r w:rsidR="00117BD1">
        <w:rPr>
          <w:rFonts w:cs="Arial"/>
          <w:sz w:val="24"/>
          <w:szCs w:val="24"/>
        </w:rPr>
        <w:t>and</w:t>
      </w:r>
      <w:r w:rsidR="009F7B86">
        <w:rPr>
          <w:rFonts w:cs="Arial"/>
          <w:sz w:val="24"/>
          <w:szCs w:val="24"/>
        </w:rPr>
        <w:t xml:space="preserve"> time agreed with users to show them how to report on risks </w:t>
      </w:r>
      <w:r w:rsidR="00117BD1">
        <w:rPr>
          <w:rFonts w:cs="Arial"/>
          <w:sz w:val="24"/>
          <w:szCs w:val="24"/>
        </w:rPr>
        <w:t>using</w:t>
      </w:r>
      <w:r w:rsidR="009F7B86">
        <w:rPr>
          <w:rFonts w:cs="Arial"/>
          <w:sz w:val="24"/>
          <w:szCs w:val="24"/>
        </w:rPr>
        <w:t xml:space="preserve"> the CPT</w:t>
      </w:r>
      <w:r w:rsidR="00F15353" w:rsidRPr="00941887">
        <w:rPr>
          <w:rFonts w:cs="Arial"/>
          <w:sz w:val="24"/>
          <w:szCs w:val="24"/>
        </w:rPr>
        <w:t>. This enable</w:t>
      </w:r>
      <w:r w:rsidR="009F7B86">
        <w:rPr>
          <w:rFonts w:cs="Arial"/>
          <w:sz w:val="24"/>
          <w:szCs w:val="24"/>
        </w:rPr>
        <w:t>d</w:t>
      </w:r>
      <w:r w:rsidR="00F15353" w:rsidRPr="00941887">
        <w:rPr>
          <w:rFonts w:cs="Arial"/>
          <w:sz w:val="24"/>
          <w:szCs w:val="24"/>
        </w:rPr>
        <w:t xml:space="preserve"> reporting on the MRR by staff to occur on the CPT rather than on excel documents</w:t>
      </w:r>
      <w:r w:rsidR="005C370A">
        <w:rPr>
          <w:rFonts w:cs="Arial"/>
          <w:sz w:val="24"/>
          <w:szCs w:val="24"/>
        </w:rPr>
        <w:t xml:space="preserve"> (which we previously used). </w:t>
      </w:r>
    </w:p>
    <w:p w14:paraId="1566AFD9" w14:textId="2C6EEA1C" w:rsidR="00292C31" w:rsidRDefault="00F15353" w:rsidP="00941887">
      <w:pPr>
        <w:pStyle w:val="CMTNumbered2"/>
        <w:jc w:val="left"/>
        <w:rPr>
          <w:rFonts w:cs="Arial"/>
          <w:sz w:val="24"/>
          <w:szCs w:val="24"/>
        </w:rPr>
      </w:pPr>
      <w:r w:rsidRPr="00941887">
        <w:rPr>
          <w:rFonts w:cs="Arial"/>
          <w:sz w:val="24"/>
          <w:szCs w:val="24"/>
        </w:rPr>
        <w:t xml:space="preserve">Reporting on the CPT </w:t>
      </w:r>
      <w:r w:rsidR="004E68F0">
        <w:rPr>
          <w:rFonts w:cs="Arial"/>
          <w:sz w:val="24"/>
          <w:szCs w:val="24"/>
        </w:rPr>
        <w:t>continues to reduce</w:t>
      </w:r>
      <w:r w:rsidRPr="00941887">
        <w:rPr>
          <w:rFonts w:cs="Arial"/>
          <w:sz w:val="24"/>
          <w:szCs w:val="24"/>
        </w:rPr>
        <w:t xml:space="preserve"> the time taken for </w:t>
      </w:r>
      <w:r w:rsidR="00117BD1">
        <w:rPr>
          <w:rFonts w:cs="Arial"/>
          <w:sz w:val="24"/>
          <w:szCs w:val="24"/>
        </w:rPr>
        <w:t xml:space="preserve">risk </w:t>
      </w:r>
      <w:r w:rsidRPr="00941887">
        <w:rPr>
          <w:rFonts w:cs="Arial"/>
          <w:sz w:val="24"/>
          <w:szCs w:val="24"/>
        </w:rPr>
        <w:t xml:space="preserve">reporting, </w:t>
      </w:r>
      <w:r w:rsidR="004E68F0">
        <w:rPr>
          <w:rFonts w:cs="Arial"/>
          <w:sz w:val="24"/>
          <w:szCs w:val="24"/>
        </w:rPr>
        <w:t xml:space="preserve">has </w:t>
      </w:r>
      <w:r w:rsidRPr="00941887">
        <w:rPr>
          <w:rFonts w:cs="Arial"/>
          <w:sz w:val="24"/>
          <w:szCs w:val="24"/>
        </w:rPr>
        <w:t>remove</w:t>
      </w:r>
      <w:r w:rsidR="005C370A">
        <w:rPr>
          <w:rFonts w:cs="Arial"/>
          <w:sz w:val="24"/>
          <w:szCs w:val="24"/>
        </w:rPr>
        <w:t>d</w:t>
      </w:r>
      <w:r w:rsidRPr="00941887">
        <w:rPr>
          <w:rFonts w:cs="Arial"/>
          <w:sz w:val="24"/>
          <w:szCs w:val="24"/>
        </w:rPr>
        <w:t xml:space="preserve"> version control issues </w:t>
      </w:r>
      <w:r w:rsidR="00117BD1">
        <w:rPr>
          <w:rFonts w:cs="Arial"/>
          <w:sz w:val="24"/>
          <w:szCs w:val="24"/>
        </w:rPr>
        <w:t xml:space="preserve">with the excel spreadsheets previously used for reporting </w:t>
      </w:r>
      <w:r w:rsidRPr="00941887">
        <w:rPr>
          <w:rFonts w:cs="Arial"/>
          <w:sz w:val="24"/>
          <w:szCs w:val="24"/>
        </w:rPr>
        <w:t xml:space="preserve">and </w:t>
      </w:r>
      <w:r w:rsidR="004E68F0">
        <w:rPr>
          <w:rFonts w:cs="Arial"/>
          <w:sz w:val="24"/>
          <w:szCs w:val="24"/>
        </w:rPr>
        <w:t>enabled</w:t>
      </w:r>
      <w:r w:rsidRPr="00941887">
        <w:rPr>
          <w:rFonts w:cs="Arial"/>
          <w:sz w:val="24"/>
          <w:szCs w:val="24"/>
        </w:rPr>
        <w:t xml:space="preserve"> more useful live MRR information </w:t>
      </w:r>
      <w:r w:rsidR="004E68F0">
        <w:rPr>
          <w:rFonts w:cs="Arial"/>
          <w:sz w:val="24"/>
          <w:szCs w:val="24"/>
        </w:rPr>
        <w:t xml:space="preserve">to be </w:t>
      </w:r>
      <w:r w:rsidRPr="00941887">
        <w:rPr>
          <w:rFonts w:cs="Arial"/>
          <w:sz w:val="24"/>
          <w:szCs w:val="24"/>
        </w:rPr>
        <w:t>available to staff</w:t>
      </w:r>
      <w:r w:rsidR="00005A96" w:rsidRPr="00941887">
        <w:rPr>
          <w:rFonts w:cs="Arial"/>
          <w:sz w:val="24"/>
          <w:szCs w:val="24"/>
        </w:rPr>
        <w:t xml:space="preserve"> through the CPT</w:t>
      </w:r>
      <w:r w:rsidRPr="00941887">
        <w:rPr>
          <w:rFonts w:cs="Arial"/>
          <w:sz w:val="24"/>
          <w:szCs w:val="24"/>
        </w:rPr>
        <w:t>.</w:t>
      </w:r>
      <w:r w:rsidR="00BC4083" w:rsidRPr="00941887">
        <w:rPr>
          <w:rFonts w:cs="Arial"/>
          <w:sz w:val="24"/>
          <w:szCs w:val="24"/>
        </w:rPr>
        <w:t xml:space="preserve"> </w:t>
      </w:r>
    </w:p>
    <w:p w14:paraId="3617FC7B" w14:textId="2A9EA7AE" w:rsidR="000926FC" w:rsidRPr="00941887" w:rsidRDefault="000926FC" w:rsidP="00941887">
      <w:pPr>
        <w:pStyle w:val="CMTNumbered2"/>
        <w:jc w:val="left"/>
        <w:rPr>
          <w:rFonts w:cs="Arial"/>
          <w:sz w:val="24"/>
          <w:szCs w:val="24"/>
        </w:rPr>
      </w:pPr>
      <w:r>
        <w:rPr>
          <w:rFonts w:cs="Arial"/>
          <w:sz w:val="24"/>
          <w:szCs w:val="24"/>
        </w:rPr>
        <w:t>In 2019, following consideration of Business As Usual risks at the Directors meeting on 7</w:t>
      </w:r>
      <w:r w:rsidRPr="000926FC">
        <w:rPr>
          <w:rFonts w:cs="Arial"/>
          <w:sz w:val="24"/>
          <w:szCs w:val="24"/>
          <w:vertAlign w:val="superscript"/>
        </w:rPr>
        <w:t>th</w:t>
      </w:r>
      <w:r>
        <w:rPr>
          <w:rFonts w:cs="Arial"/>
          <w:sz w:val="24"/>
          <w:szCs w:val="24"/>
        </w:rPr>
        <w:t xml:space="preserve"> May 2019, it was agreed these risks were adequately covered by the MRR (rather than the CRR). However, Directors have agreed to further risk sessions at their Directorate Management Team meetings in the near future to review and refresh their MRR as applicable, in the context of Business As Usual risks.</w:t>
      </w:r>
    </w:p>
    <w:p w14:paraId="5E1B8DB5" w14:textId="77777777" w:rsidR="00355798" w:rsidRPr="001C7811" w:rsidRDefault="00355798" w:rsidP="003F44B8">
      <w:pPr>
        <w:pStyle w:val="CMTsubheading"/>
        <w:rPr>
          <w:rFonts w:cs="Arial"/>
          <w:sz w:val="24"/>
          <w:szCs w:val="24"/>
        </w:rPr>
      </w:pPr>
      <w:r w:rsidRPr="001C7811">
        <w:rPr>
          <w:rFonts w:cs="Arial"/>
          <w:sz w:val="24"/>
          <w:szCs w:val="24"/>
        </w:rPr>
        <w:t>Finance and Resource Implications</w:t>
      </w:r>
    </w:p>
    <w:p w14:paraId="62183C42" w14:textId="38A8C9E0" w:rsidR="00355798" w:rsidRPr="001C7811" w:rsidRDefault="007E3462" w:rsidP="003F44B8">
      <w:pPr>
        <w:pStyle w:val="CMTNumbered2"/>
        <w:jc w:val="left"/>
        <w:rPr>
          <w:rFonts w:cs="Arial"/>
          <w:sz w:val="24"/>
          <w:szCs w:val="24"/>
        </w:rPr>
      </w:pPr>
      <w:r w:rsidRPr="001C7811">
        <w:rPr>
          <w:rFonts w:cs="Arial"/>
          <w:sz w:val="24"/>
          <w:szCs w:val="24"/>
        </w:rPr>
        <w:t xml:space="preserve">There are no identified finance </w:t>
      </w:r>
      <w:r w:rsidR="0081143E">
        <w:rPr>
          <w:rFonts w:cs="Arial"/>
          <w:sz w:val="24"/>
          <w:szCs w:val="24"/>
        </w:rPr>
        <w:t xml:space="preserve">or resource </w:t>
      </w:r>
      <w:r w:rsidRPr="001C7811">
        <w:rPr>
          <w:rFonts w:cs="Arial"/>
          <w:sz w:val="24"/>
          <w:szCs w:val="24"/>
        </w:rPr>
        <w:t>implications</w:t>
      </w:r>
      <w:r w:rsidR="00A2754F" w:rsidRPr="001C7811">
        <w:rPr>
          <w:rFonts w:cs="Arial"/>
          <w:sz w:val="24"/>
          <w:szCs w:val="24"/>
        </w:rPr>
        <w:t>.</w:t>
      </w:r>
    </w:p>
    <w:p w14:paraId="56CC9235" w14:textId="7194717D" w:rsidR="0055706B" w:rsidRPr="001C7811" w:rsidRDefault="0081143E" w:rsidP="003F44B8">
      <w:pPr>
        <w:pStyle w:val="CMTsubheading"/>
        <w:rPr>
          <w:rFonts w:cs="Arial"/>
          <w:sz w:val="24"/>
          <w:szCs w:val="24"/>
        </w:rPr>
      </w:pPr>
      <w:r>
        <w:rPr>
          <w:rFonts w:cs="Arial"/>
          <w:sz w:val="24"/>
          <w:szCs w:val="24"/>
        </w:rPr>
        <w:t xml:space="preserve">Staff </w:t>
      </w:r>
      <w:r w:rsidR="0055706B" w:rsidRPr="001C7811">
        <w:rPr>
          <w:rFonts w:cs="Arial"/>
          <w:sz w:val="24"/>
          <w:szCs w:val="24"/>
        </w:rPr>
        <w:t>Partnership</w:t>
      </w:r>
    </w:p>
    <w:p w14:paraId="0111DA1E" w14:textId="4DD7A961" w:rsidR="0055706B" w:rsidRPr="001C7811" w:rsidRDefault="007E3462" w:rsidP="003F44B8">
      <w:pPr>
        <w:pStyle w:val="CMTNumbered2"/>
        <w:jc w:val="left"/>
        <w:rPr>
          <w:rFonts w:cs="Arial"/>
          <w:sz w:val="24"/>
          <w:szCs w:val="24"/>
        </w:rPr>
      </w:pPr>
      <w:r w:rsidRPr="001C7811">
        <w:rPr>
          <w:rFonts w:cs="Arial"/>
          <w:sz w:val="24"/>
          <w:szCs w:val="24"/>
        </w:rPr>
        <w:t xml:space="preserve">There are no identified </w:t>
      </w:r>
      <w:r w:rsidR="0081143E">
        <w:rPr>
          <w:rFonts w:cs="Arial"/>
          <w:sz w:val="24"/>
          <w:szCs w:val="24"/>
        </w:rPr>
        <w:t xml:space="preserve">staff </w:t>
      </w:r>
      <w:r w:rsidRPr="001C7811">
        <w:rPr>
          <w:rFonts w:cs="Arial"/>
          <w:sz w:val="24"/>
          <w:szCs w:val="24"/>
        </w:rPr>
        <w:t>partnership implications.</w:t>
      </w:r>
      <w:r w:rsidR="00A2754F" w:rsidRPr="001C7811">
        <w:rPr>
          <w:rFonts w:cs="Arial"/>
          <w:sz w:val="24"/>
          <w:szCs w:val="24"/>
        </w:rPr>
        <w:t xml:space="preserve"> </w:t>
      </w:r>
    </w:p>
    <w:p w14:paraId="24E962BA" w14:textId="4F400B2E" w:rsidR="00355798" w:rsidRPr="001C7811" w:rsidRDefault="004E3177" w:rsidP="003F44B8">
      <w:pPr>
        <w:pStyle w:val="CMTsubheading"/>
        <w:rPr>
          <w:rFonts w:cs="Arial"/>
          <w:sz w:val="24"/>
          <w:szCs w:val="24"/>
        </w:rPr>
      </w:pPr>
      <w:r>
        <w:rPr>
          <w:rFonts w:cs="Arial"/>
          <w:sz w:val="24"/>
          <w:szCs w:val="24"/>
        </w:rPr>
        <w:t>Communication and Engagement</w:t>
      </w:r>
    </w:p>
    <w:p w14:paraId="287D4B65" w14:textId="249C1C42" w:rsidR="00355798" w:rsidRPr="001C7811" w:rsidRDefault="007E3462" w:rsidP="003F44B8">
      <w:pPr>
        <w:pStyle w:val="CMTNumbered2"/>
        <w:jc w:val="left"/>
        <w:rPr>
          <w:rFonts w:cs="Arial"/>
          <w:sz w:val="24"/>
          <w:szCs w:val="24"/>
        </w:rPr>
      </w:pPr>
      <w:r w:rsidRPr="001C7811">
        <w:rPr>
          <w:rFonts w:cs="Arial"/>
          <w:sz w:val="24"/>
          <w:szCs w:val="24"/>
        </w:rPr>
        <w:t>There are no identif</w:t>
      </w:r>
      <w:r w:rsidR="002969D6" w:rsidRPr="001C7811">
        <w:rPr>
          <w:rFonts w:cs="Arial"/>
          <w:sz w:val="24"/>
          <w:szCs w:val="24"/>
        </w:rPr>
        <w:t xml:space="preserve">ied communications </w:t>
      </w:r>
      <w:r w:rsidR="004E3177">
        <w:rPr>
          <w:rFonts w:cs="Arial"/>
          <w:sz w:val="24"/>
          <w:szCs w:val="24"/>
        </w:rPr>
        <w:t xml:space="preserve">or engagement </w:t>
      </w:r>
      <w:r w:rsidR="002969D6" w:rsidRPr="001C7811">
        <w:rPr>
          <w:rFonts w:cs="Arial"/>
          <w:sz w:val="24"/>
          <w:szCs w:val="24"/>
        </w:rPr>
        <w:t xml:space="preserve">implications, with the Corporate Risk Register published </w:t>
      </w:r>
      <w:r w:rsidR="00B70433" w:rsidRPr="001C7811">
        <w:rPr>
          <w:rFonts w:cs="Arial"/>
          <w:sz w:val="24"/>
          <w:szCs w:val="24"/>
        </w:rPr>
        <w:t xml:space="preserve">annually </w:t>
      </w:r>
      <w:r w:rsidR="002969D6" w:rsidRPr="001C7811">
        <w:rPr>
          <w:rFonts w:cs="Arial"/>
          <w:sz w:val="24"/>
          <w:szCs w:val="24"/>
        </w:rPr>
        <w:t xml:space="preserve">on </w:t>
      </w:r>
      <w:r w:rsidR="00DE3442">
        <w:rPr>
          <w:rFonts w:cs="Arial"/>
          <w:sz w:val="24"/>
          <w:szCs w:val="24"/>
        </w:rPr>
        <w:t>the NHS Health Scotland website and the Source.</w:t>
      </w:r>
    </w:p>
    <w:p w14:paraId="69C22E27" w14:textId="54F3CFF4" w:rsidR="003851AE" w:rsidRPr="001C7811" w:rsidRDefault="0039168F" w:rsidP="003F44B8">
      <w:pPr>
        <w:pStyle w:val="CMTsubheading"/>
        <w:rPr>
          <w:rFonts w:cs="Arial"/>
          <w:sz w:val="24"/>
          <w:szCs w:val="24"/>
        </w:rPr>
      </w:pPr>
      <w:r>
        <w:rPr>
          <w:rFonts w:cs="Arial"/>
          <w:sz w:val="24"/>
          <w:szCs w:val="24"/>
        </w:rPr>
        <w:t xml:space="preserve">Corporate </w:t>
      </w:r>
      <w:r w:rsidR="00355798" w:rsidRPr="001C7811">
        <w:rPr>
          <w:rFonts w:cs="Arial"/>
          <w:sz w:val="24"/>
          <w:szCs w:val="24"/>
        </w:rPr>
        <w:t>Risk</w:t>
      </w:r>
    </w:p>
    <w:p w14:paraId="59718929" w14:textId="77777777" w:rsidR="003851AE" w:rsidRPr="001C7811" w:rsidRDefault="00253FF2" w:rsidP="003F44B8">
      <w:pPr>
        <w:pStyle w:val="CMTNumbered2"/>
        <w:keepLines/>
        <w:jc w:val="left"/>
        <w:rPr>
          <w:rFonts w:cs="Arial"/>
          <w:sz w:val="24"/>
          <w:szCs w:val="24"/>
        </w:rPr>
      </w:pPr>
      <w:r w:rsidRPr="001C7811">
        <w:rPr>
          <w:rFonts w:cs="Arial"/>
          <w:sz w:val="24"/>
          <w:szCs w:val="24"/>
        </w:rPr>
        <w:t xml:space="preserve">This annual report provides assurance to </w:t>
      </w:r>
      <w:r w:rsidR="005B05A2" w:rsidRPr="001C7811">
        <w:rPr>
          <w:rFonts w:cs="Arial"/>
          <w:sz w:val="24"/>
          <w:szCs w:val="24"/>
        </w:rPr>
        <w:t>t</w:t>
      </w:r>
      <w:r w:rsidRPr="001C7811">
        <w:rPr>
          <w:rFonts w:cs="Arial"/>
          <w:sz w:val="24"/>
          <w:szCs w:val="24"/>
        </w:rPr>
        <w:t xml:space="preserve">he </w:t>
      </w:r>
      <w:r w:rsidR="003E41EF">
        <w:rPr>
          <w:rFonts w:cs="Arial"/>
          <w:sz w:val="24"/>
          <w:szCs w:val="24"/>
        </w:rPr>
        <w:t>Audit Committee</w:t>
      </w:r>
      <w:r w:rsidRPr="001C7811">
        <w:rPr>
          <w:rFonts w:cs="Arial"/>
          <w:sz w:val="24"/>
          <w:szCs w:val="24"/>
        </w:rPr>
        <w:t xml:space="preserve"> that risk within the organisation is being managed appropriately and </w:t>
      </w:r>
      <w:r w:rsidR="00DE3442">
        <w:rPr>
          <w:rFonts w:cs="Arial"/>
          <w:sz w:val="24"/>
          <w:szCs w:val="24"/>
        </w:rPr>
        <w:t>we</w:t>
      </w:r>
      <w:r w:rsidRPr="001C7811">
        <w:rPr>
          <w:rFonts w:cs="Arial"/>
          <w:sz w:val="24"/>
          <w:szCs w:val="24"/>
        </w:rPr>
        <w:t xml:space="preserve"> continue to improve the management of risk.</w:t>
      </w:r>
    </w:p>
    <w:p w14:paraId="675895AF" w14:textId="04FA08AD" w:rsidR="00B339EA" w:rsidRDefault="00B339EA" w:rsidP="003F44B8">
      <w:pPr>
        <w:pStyle w:val="CMTsubheading"/>
        <w:rPr>
          <w:rFonts w:cs="Arial"/>
          <w:sz w:val="24"/>
          <w:szCs w:val="24"/>
        </w:rPr>
      </w:pPr>
      <w:r>
        <w:rPr>
          <w:rFonts w:cs="Arial"/>
          <w:sz w:val="24"/>
          <w:szCs w:val="24"/>
        </w:rPr>
        <w:t>Issues Associated with Transition</w:t>
      </w:r>
    </w:p>
    <w:p w14:paraId="072B797E" w14:textId="62620176" w:rsidR="00B339EA" w:rsidRDefault="00B339EA" w:rsidP="00B339EA">
      <w:pPr>
        <w:pStyle w:val="CMTNumbered2"/>
        <w:keepLines/>
        <w:jc w:val="left"/>
        <w:rPr>
          <w:rFonts w:cs="Arial"/>
          <w:sz w:val="24"/>
          <w:szCs w:val="24"/>
        </w:rPr>
      </w:pPr>
      <w:r w:rsidRPr="001C7811">
        <w:rPr>
          <w:rFonts w:cs="Arial"/>
          <w:sz w:val="24"/>
          <w:szCs w:val="24"/>
        </w:rPr>
        <w:t xml:space="preserve">This </w:t>
      </w:r>
      <w:r>
        <w:rPr>
          <w:rFonts w:cs="Arial"/>
          <w:sz w:val="24"/>
          <w:szCs w:val="24"/>
        </w:rPr>
        <w:t>Annual Risk Report includes an end of ye</w:t>
      </w:r>
      <w:r w:rsidR="00D3144B">
        <w:rPr>
          <w:rFonts w:cs="Arial"/>
          <w:sz w:val="24"/>
          <w:szCs w:val="24"/>
        </w:rPr>
        <w:t>ar summary of the CRR 2018/19, and the approved CRR 2019/20</w:t>
      </w:r>
      <w:r>
        <w:rPr>
          <w:rFonts w:cs="Arial"/>
          <w:sz w:val="24"/>
          <w:szCs w:val="24"/>
        </w:rPr>
        <w:t>, both of which include risks resulting from the transition to Public Health Scotland</w:t>
      </w:r>
      <w:r w:rsidRPr="00B339EA">
        <w:rPr>
          <w:rFonts w:cs="Arial"/>
          <w:sz w:val="24"/>
          <w:szCs w:val="24"/>
        </w:rPr>
        <w:t>.</w:t>
      </w:r>
      <w:r w:rsidR="006D102F">
        <w:rPr>
          <w:rFonts w:cs="Arial"/>
          <w:sz w:val="24"/>
          <w:szCs w:val="24"/>
        </w:rPr>
        <w:t xml:space="preserve"> We will be discussing and aligning approaches to risk management with other Boards to ensure smooth transition to the new body.</w:t>
      </w:r>
    </w:p>
    <w:p w14:paraId="2011B0D4" w14:textId="77777777" w:rsidR="009F1B6E" w:rsidRPr="00B339EA" w:rsidRDefault="009F1B6E" w:rsidP="009F1B6E">
      <w:pPr>
        <w:pStyle w:val="CMTNumbered2"/>
        <w:keepLines/>
        <w:numPr>
          <w:ilvl w:val="0"/>
          <w:numId w:val="0"/>
        </w:numPr>
        <w:ind w:left="567"/>
        <w:jc w:val="left"/>
        <w:rPr>
          <w:rFonts w:cs="Arial"/>
          <w:sz w:val="24"/>
          <w:szCs w:val="24"/>
        </w:rPr>
      </w:pPr>
    </w:p>
    <w:p w14:paraId="73A7DD22" w14:textId="4C734319" w:rsidR="00355798" w:rsidRPr="001C7811" w:rsidRDefault="0039168F" w:rsidP="003F44B8">
      <w:pPr>
        <w:pStyle w:val="CMTsubheading"/>
        <w:rPr>
          <w:rFonts w:cs="Arial"/>
          <w:sz w:val="24"/>
          <w:szCs w:val="24"/>
        </w:rPr>
      </w:pPr>
      <w:r>
        <w:rPr>
          <w:rFonts w:cs="Arial"/>
          <w:sz w:val="24"/>
          <w:szCs w:val="24"/>
        </w:rPr>
        <w:lastRenderedPageBreak/>
        <w:t>Promoting Fairness</w:t>
      </w:r>
    </w:p>
    <w:p w14:paraId="09DB4922" w14:textId="54D881D3" w:rsidR="002C09DA" w:rsidRPr="003E41EF" w:rsidRDefault="007E3462" w:rsidP="003E41EF">
      <w:pPr>
        <w:pStyle w:val="CMTNumbered2"/>
        <w:jc w:val="left"/>
        <w:rPr>
          <w:rFonts w:cs="Arial"/>
          <w:sz w:val="24"/>
          <w:szCs w:val="24"/>
        </w:rPr>
      </w:pPr>
      <w:r w:rsidRPr="001C7811">
        <w:rPr>
          <w:rFonts w:cs="Arial"/>
          <w:sz w:val="24"/>
          <w:szCs w:val="24"/>
        </w:rPr>
        <w:t xml:space="preserve">There are no identified </w:t>
      </w:r>
      <w:r w:rsidR="0039168F">
        <w:rPr>
          <w:rFonts w:cs="Arial"/>
          <w:sz w:val="24"/>
          <w:szCs w:val="24"/>
        </w:rPr>
        <w:t>promoting fairness</w:t>
      </w:r>
      <w:r w:rsidRPr="001C7811">
        <w:rPr>
          <w:rFonts w:cs="Arial"/>
          <w:sz w:val="24"/>
          <w:szCs w:val="24"/>
        </w:rPr>
        <w:t xml:space="preserve"> issues.</w:t>
      </w:r>
    </w:p>
    <w:p w14:paraId="3C91407E" w14:textId="77777777" w:rsidR="00C622C6" w:rsidRPr="001C7811" w:rsidRDefault="0055706B" w:rsidP="003F44B8">
      <w:pPr>
        <w:pStyle w:val="CMTsubheading"/>
        <w:rPr>
          <w:rFonts w:cs="Arial"/>
          <w:sz w:val="24"/>
          <w:szCs w:val="24"/>
        </w:rPr>
      </w:pPr>
      <w:r w:rsidRPr="001C7811">
        <w:rPr>
          <w:rFonts w:cs="Arial"/>
          <w:sz w:val="24"/>
          <w:szCs w:val="24"/>
        </w:rPr>
        <w:t>Sustainability and Environmental Management</w:t>
      </w:r>
    </w:p>
    <w:p w14:paraId="2B6402E2" w14:textId="1A1E2881" w:rsidR="00C622C6" w:rsidRPr="001C7811" w:rsidRDefault="00A64559" w:rsidP="003F44B8">
      <w:pPr>
        <w:pStyle w:val="CMTNumbered2"/>
        <w:jc w:val="left"/>
        <w:rPr>
          <w:rFonts w:cs="Arial"/>
          <w:sz w:val="24"/>
          <w:szCs w:val="24"/>
        </w:rPr>
      </w:pPr>
      <w:r>
        <w:rPr>
          <w:rFonts w:cs="Arial"/>
          <w:sz w:val="24"/>
          <w:szCs w:val="24"/>
        </w:rPr>
        <w:t>There are no identified sustainability and e</w:t>
      </w:r>
      <w:r w:rsidR="007E3462" w:rsidRPr="001C7811">
        <w:rPr>
          <w:rFonts w:cs="Arial"/>
          <w:sz w:val="24"/>
          <w:szCs w:val="24"/>
        </w:rPr>
        <w:t>nvironmenta</w:t>
      </w:r>
      <w:r>
        <w:rPr>
          <w:rFonts w:cs="Arial"/>
          <w:sz w:val="24"/>
          <w:szCs w:val="24"/>
        </w:rPr>
        <w:t>l m</w:t>
      </w:r>
      <w:r w:rsidR="007E3462" w:rsidRPr="001C7811">
        <w:rPr>
          <w:rFonts w:cs="Arial"/>
          <w:sz w:val="24"/>
          <w:szCs w:val="24"/>
        </w:rPr>
        <w:t>anagement issues.</w:t>
      </w:r>
    </w:p>
    <w:p w14:paraId="36CF5B2A" w14:textId="77777777" w:rsidR="00355798" w:rsidRPr="001C7811" w:rsidRDefault="00355798" w:rsidP="003F44B8">
      <w:pPr>
        <w:pStyle w:val="CMTsubheading"/>
        <w:keepNext/>
        <w:rPr>
          <w:rFonts w:cs="Arial"/>
          <w:sz w:val="24"/>
          <w:szCs w:val="24"/>
        </w:rPr>
      </w:pPr>
      <w:r w:rsidRPr="001C7811">
        <w:rPr>
          <w:rFonts w:cs="Arial"/>
          <w:sz w:val="24"/>
          <w:szCs w:val="24"/>
        </w:rPr>
        <w:t>Action/Recommendations</w:t>
      </w:r>
    </w:p>
    <w:p w14:paraId="2D6754D5" w14:textId="36FE2248" w:rsidR="00327A37" w:rsidRPr="00D3144B" w:rsidRDefault="00327A37" w:rsidP="00D3144B">
      <w:pPr>
        <w:pStyle w:val="CMTNumbered2"/>
        <w:jc w:val="left"/>
        <w:rPr>
          <w:rFonts w:cs="Arial"/>
          <w:sz w:val="24"/>
          <w:szCs w:val="24"/>
        </w:rPr>
      </w:pPr>
      <w:r w:rsidRPr="00327A37">
        <w:rPr>
          <w:sz w:val="24"/>
          <w:szCs w:val="24"/>
        </w:rPr>
        <w:t xml:space="preserve">The </w:t>
      </w:r>
      <w:r w:rsidR="009F1B6E">
        <w:rPr>
          <w:sz w:val="24"/>
          <w:szCs w:val="24"/>
        </w:rPr>
        <w:t>Board</w:t>
      </w:r>
      <w:r w:rsidRPr="00327A37">
        <w:rPr>
          <w:sz w:val="24"/>
          <w:szCs w:val="24"/>
        </w:rPr>
        <w:t xml:space="preserve"> is asked to note the contents of the paper</w:t>
      </w:r>
      <w:r w:rsidR="00363B80">
        <w:rPr>
          <w:sz w:val="24"/>
          <w:szCs w:val="24"/>
        </w:rPr>
        <w:t>.</w:t>
      </w:r>
    </w:p>
    <w:p w14:paraId="4E75F980" w14:textId="77777777" w:rsidR="00363B80" w:rsidRDefault="00363B80" w:rsidP="003F44B8">
      <w:pPr>
        <w:pStyle w:val="CMTsubheading"/>
        <w:spacing w:after="0"/>
        <w:rPr>
          <w:rFonts w:cs="Arial"/>
          <w:sz w:val="24"/>
          <w:szCs w:val="24"/>
        </w:rPr>
      </w:pPr>
    </w:p>
    <w:p w14:paraId="4A053156" w14:textId="77777777" w:rsidR="00355798" w:rsidRPr="001C7811" w:rsidRDefault="00256FB9" w:rsidP="003F44B8">
      <w:pPr>
        <w:pStyle w:val="CMTsubheading"/>
        <w:spacing w:after="0"/>
        <w:rPr>
          <w:rFonts w:cs="Arial"/>
          <w:sz w:val="24"/>
          <w:szCs w:val="24"/>
        </w:rPr>
      </w:pPr>
      <w:r w:rsidRPr="001C7811">
        <w:rPr>
          <w:rFonts w:cs="Arial"/>
          <w:sz w:val="24"/>
          <w:szCs w:val="24"/>
        </w:rPr>
        <w:t>Duncan Robertson</w:t>
      </w:r>
    </w:p>
    <w:p w14:paraId="44427FAB" w14:textId="08D6D92C" w:rsidR="00256FB9" w:rsidRPr="001C7811" w:rsidRDefault="001E5A3B" w:rsidP="003F44B8">
      <w:pPr>
        <w:rPr>
          <w:rFonts w:cs="Arial"/>
          <w:b/>
          <w:sz w:val="24"/>
          <w:szCs w:val="24"/>
        </w:rPr>
      </w:pPr>
      <w:r>
        <w:rPr>
          <w:rFonts w:cs="Arial"/>
          <w:b/>
          <w:sz w:val="24"/>
          <w:szCs w:val="24"/>
        </w:rPr>
        <w:t xml:space="preserve">Senior </w:t>
      </w:r>
      <w:r w:rsidR="00A64559">
        <w:rPr>
          <w:rFonts w:cs="Arial"/>
          <w:b/>
          <w:sz w:val="24"/>
          <w:szCs w:val="24"/>
        </w:rPr>
        <w:t xml:space="preserve">Policy, </w:t>
      </w:r>
      <w:r w:rsidR="00256FB9" w:rsidRPr="001C7811">
        <w:rPr>
          <w:rFonts w:cs="Arial"/>
          <w:b/>
          <w:sz w:val="24"/>
          <w:szCs w:val="24"/>
        </w:rPr>
        <w:t xml:space="preserve">Risk </w:t>
      </w:r>
      <w:r w:rsidR="00A64559">
        <w:rPr>
          <w:rFonts w:cs="Arial"/>
          <w:b/>
          <w:sz w:val="24"/>
          <w:szCs w:val="24"/>
        </w:rPr>
        <w:t xml:space="preserve">and Data Protection </w:t>
      </w:r>
      <w:r w:rsidR="00256FB9" w:rsidRPr="001C7811">
        <w:rPr>
          <w:rFonts w:cs="Arial"/>
          <w:b/>
          <w:sz w:val="24"/>
          <w:szCs w:val="24"/>
        </w:rPr>
        <w:t>Officer</w:t>
      </w:r>
    </w:p>
    <w:p w14:paraId="0EA08BD5" w14:textId="6EDB1D3E" w:rsidR="006C6941" w:rsidRPr="006C6941" w:rsidRDefault="00FB3EFB" w:rsidP="00FB3EFB">
      <w:pPr>
        <w:pStyle w:val="CMTsubheading"/>
        <w:spacing w:after="0"/>
        <w:sectPr w:rsidR="006C6941" w:rsidRPr="006C6941" w:rsidSect="00AF7ADD">
          <w:headerReference w:type="default" r:id="rId17"/>
          <w:pgSz w:w="11906" w:h="16838"/>
          <w:pgMar w:top="1440" w:right="1440" w:bottom="1440" w:left="1440" w:header="706" w:footer="706" w:gutter="0"/>
          <w:cols w:space="708"/>
          <w:docGrid w:linePitch="360"/>
        </w:sectPr>
      </w:pPr>
      <w:r>
        <w:rPr>
          <w:rFonts w:cs="Arial"/>
          <w:sz w:val="24"/>
          <w:szCs w:val="24"/>
        </w:rPr>
        <w:t>11 June 2019</w:t>
      </w:r>
    </w:p>
    <w:p w14:paraId="6F91DF19" w14:textId="2C0564A4" w:rsidR="00A03124" w:rsidRPr="0054688B" w:rsidRDefault="00E36654" w:rsidP="001066C4">
      <w:pPr>
        <w:rPr>
          <w:b/>
          <w:sz w:val="24"/>
        </w:rPr>
      </w:pPr>
      <w:r w:rsidRPr="0054688B">
        <w:rPr>
          <w:b/>
          <w:sz w:val="24"/>
        </w:rPr>
        <w:lastRenderedPageBreak/>
        <w:t>Appendix 1 – NHS Health Scotl</w:t>
      </w:r>
      <w:r w:rsidR="00D07EB8" w:rsidRPr="0054688B">
        <w:rPr>
          <w:b/>
          <w:sz w:val="24"/>
        </w:rPr>
        <w:t>and Corporate Risk Register 2018/19</w:t>
      </w:r>
      <w:r w:rsidR="0054688B">
        <w:rPr>
          <w:b/>
          <w:sz w:val="24"/>
        </w:rPr>
        <w:t xml:space="preserve"> End of Year Report</w:t>
      </w:r>
    </w:p>
    <w:tbl>
      <w:tblPr>
        <w:tblStyle w:val="TableGrid"/>
        <w:tblpPr w:leftFromText="180" w:rightFromText="180" w:vertAnchor="page" w:horzAnchor="margin" w:tblpX="-431" w:tblpY="2176"/>
        <w:tblW w:w="14879" w:type="dxa"/>
        <w:tblLook w:val="04A0" w:firstRow="1" w:lastRow="0" w:firstColumn="1" w:lastColumn="0" w:noHBand="0" w:noVBand="1"/>
        <w:tblCaption w:val="NHS Health Scotland Corporate Risk Register 2017/18"/>
        <w:tblDescription w:val="The table sets out the 6 risks recorded in NHS Health Scotland Corporate Risk Register 2017/18, the risk category for each risk, the owner, response coordinators and the governance committee the risk is reported to."/>
      </w:tblPr>
      <w:tblGrid>
        <w:gridCol w:w="704"/>
        <w:gridCol w:w="6209"/>
        <w:gridCol w:w="7966"/>
      </w:tblGrid>
      <w:tr w:rsidR="005E26E3" w:rsidRPr="00344187" w14:paraId="01456CF9" w14:textId="77777777" w:rsidTr="00344187">
        <w:trPr>
          <w:trHeight w:val="416"/>
        </w:trPr>
        <w:tc>
          <w:tcPr>
            <w:tcW w:w="704" w:type="dxa"/>
          </w:tcPr>
          <w:p w14:paraId="3011C33C" w14:textId="77777777" w:rsidR="005E26E3" w:rsidRPr="00344187" w:rsidRDefault="005E26E3" w:rsidP="00344187">
            <w:pPr>
              <w:pStyle w:val="Heading3"/>
            </w:pPr>
            <w:r w:rsidRPr="00344187">
              <w:t>No.</w:t>
            </w:r>
          </w:p>
        </w:tc>
        <w:tc>
          <w:tcPr>
            <w:tcW w:w="6209" w:type="dxa"/>
          </w:tcPr>
          <w:p w14:paraId="347B9C0E" w14:textId="77777777" w:rsidR="005E26E3" w:rsidRPr="00344187" w:rsidRDefault="005E26E3" w:rsidP="00344187">
            <w:pPr>
              <w:pStyle w:val="Heading3"/>
            </w:pPr>
            <w:r w:rsidRPr="00344187">
              <w:t>Description</w:t>
            </w:r>
          </w:p>
        </w:tc>
        <w:tc>
          <w:tcPr>
            <w:tcW w:w="7966" w:type="dxa"/>
          </w:tcPr>
          <w:p w14:paraId="051E94F7" w14:textId="5DEDFF9B" w:rsidR="005E26E3" w:rsidRPr="00344187" w:rsidRDefault="00D07EB8" w:rsidP="00344187">
            <w:pPr>
              <w:pStyle w:val="Heading3"/>
            </w:pPr>
            <w:r w:rsidRPr="00344187">
              <w:t xml:space="preserve">End </w:t>
            </w:r>
            <w:proofErr w:type="gramStart"/>
            <w:r w:rsidRPr="00344187">
              <w:t>Of</w:t>
            </w:r>
            <w:proofErr w:type="gramEnd"/>
            <w:r w:rsidRPr="00344187">
              <w:t xml:space="preserve"> Year (2018/19</w:t>
            </w:r>
            <w:r w:rsidR="005E26E3" w:rsidRPr="00344187">
              <w:t>) Narrative</w:t>
            </w:r>
          </w:p>
        </w:tc>
      </w:tr>
      <w:tr w:rsidR="005E26E3" w:rsidRPr="005E26E3" w14:paraId="3DA703D2" w14:textId="77777777" w:rsidTr="006C6941">
        <w:trPr>
          <w:trHeight w:val="1378"/>
        </w:trPr>
        <w:tc>
          <w:tcPr>
            <w:tcW w:w="704" w:type="dxa"/>
          </w:tcPr>
          <w:p w14:paraId="5F724A7F" w14:textId="082B3AC8" w:rsidR="005E26E3" w:rsidRPr="005E26E3" w:rsidRDefault="00EB2ED6" w:rsidP="006C6941">
            <w:pPr>
              <w:rPr>
                <w:rFonts w:cs="Arial"/>
                <w:sz w:val="24"/>
                <w:szCs w:val="24"/>
              </w:rPr>
            </w:pPr>
            <w:r>
              <w:rPr>
                <w:rFonts w:cs="Arial"/>
                <w:sz w:val="24"/>
                <w:szCs w:val="24"/>
              </w:rPr>
              <w:t>18</w:t>
            </w:r>
            <w:r w:rsidR="005E26E3" w:rsidRPr="005E26E3">
              <w:rPr>
                <w:rFonts w:cs="Arial"/>
                <w:sz w:val="24"/>
                <w:szCs w:val="24"/>
              </w:rPr>
              <w:t>-1</w:t>
            </w:r>
          </w:p>
        </w:tc>
        <w:tc>
          <w:tcPr>
            <w:tcW w:w="6209" w:type="dxa"/>
          </w:tcPr>
          <w:p w14:paraId="705F921E" w14:textId="69A626F8" w:rsidR="005E26E3" w:rsidRPr="00EB2ED6" w:rsidRDefault="00EB2ED6" w:rsidP="006C6941">
            <w:pPr>
              <w:rPr>
                <w:rFonts w:cs="Arial"/>
                <w:sz w:val="24"/>
                <w:szCs w:val="24"/>
              </w:rPr>
            </w:pPr>
            <w:r w:rsidRPr="00EB2ED6">
              <w:rPr>
                <w:rFonts w:eastAsia="Calibri" w:cs="Arial"/>
                <w:color w:val="000000"/>
                <w:sz w:val="24"/>
                <w:szCs w:val="24"/>
                <w:lang w:eastAsia="en-GB"/>
              </w:rPr>
              <w:t>As our core funding reduces, there is a risk that we cannot deliver everything we want or our funders expect in 2018/19.</w:t>
            </w:r>
          </w:p>
        </w:tc>
        <w:tc>
          <w:tcPr>
            <w:tcW w:w="7966" w:type="dxa"/>
          </w:tcPr>
          <w:p w14:paraId="54D5252A" w14:textId="7F610CD8" w:rsidR="002D3145" w:rsidRPr="006C6941" w:rsidRDefault="002D3145" w:rsidP="006C6941">
            <w:pPr>
              <w:numPr>
                <w:ilvl w:val="0"/>
                <w:numId w:val="3"/>
              </w:numPr>
              <w:spacing w:before="120" w:after="120" w:line="257" w:lineRule="auto"/>
              <w:contextualSpacing/>
              <w:rPr>
                <w:sz w:val="24"/>
              </w:rPr>
            </w:pPr>
            <w:r w:rsidRPr="006C6941">
              <w:rPr>
                <w:sz w:val="24"/>
              </w:rPr>
              <w:t xml:space="preserve">Budget setting process for 18/19 in place in March </w:t>
            </w:r>
            <w:r w:rsidR="00B83F3E" w:rsidRPr="006C6941">
              <w:rPr>
                <w:sz w:val="24"/>
              </w:rPr>
              <w:t>2018</w:t>
            </w:r>
            <w:r w:rsidRPr="006C6941">
              <w:rPr>
                <w:sz w:val="24"/>
              </w:rPr>
              <w:t>.</w:t>
            </w:r>
          </w:p>
          <w:p w14:paraId="0FFF9D25" w14:textId="77777777" w:rsidR="002D3145" w:rsidRPr="006C6941" w:rsidRDefault="002D3145" w:rsidP="006C6941">
            <w:pPr>
              <w:numPr>
                <w:ilvl w:val="0"/>
                <w:numId w:val="3"/>
              </w:numPr>
              <w:spacing w:before="120" w:after="120" w:line="257" w:lineRule="auto"/>
              <w:contextualSpacing/>
              <w:rPr>
                <w:sz w:val="24"/>
              </w:rPr>
            </w:pPr>
            <w:r w:rsidRPr="006C6941">
              <w:rPr>
                <w:sz w:val="24"/>
              </w:rPr>
              <w:t>Original budgets identified unallocated budget and contingencies.</w:t>
            </w:r>
          </w:p>
          <w:p w14:paraId="5C3C4299" w14:textId="3EAA84B2" w:rsidR="002D3145" w:rsidRPr="006C6941" w:rsidRDefault="002D3145" w:rsidP="006C6941">
            <w:pPr>
              <w:numPr>
                <w:ilvl w:val="0"/>
                <w:numId w:val="3"/>
              </w:numPr>
              <w:spacing w:before="120" w:after="120" w:line="257" w:lineRule="auto"/>
              <w:contextualSpacing/>
              <w:rPr>
                <w:sz w:val="24"/>
              </w:rPr>
            </w:pPr>
            <w:r w:rsidRPr="006C6941">
              <w:rPr>
                <w:sz w:val="24"/>
              </w:rPr>
              <w:t>Commissioner tasked with identifying bids v shortfalls in bus</w:t>
            </w:r>
            <w:r w:rsidR="00B83F3E" w:rsidRPr="006C6941">
              <w:rPr>
                <w:sz w:val="24"/>
              </w:rPr>
              <w:t>iness/operating plan</w:t>
            </w:r>
            <w:r w:rsidRPr="006C6941">
              <w:rPr>
                <w:sz w:val="24"/>
              </w:rPr>
              <w:t>.</w:t>
            </w:r>
          </w:p>
          <w:p w14:paraId="0ED3BD3A" w14:textId="532AD3D4" w:rsidR="002D3145" w:rsidRPr="006C6941" w:rsidRDefault="00B83F3E" w:rsidP="006C6941">
            <w:pPr>
              <w:numPr>
                <w:ilvl w:val="0"/>
                <w:numId w:val="3"/>
              </w:numPr>
              <w:spacing w:before="120" w:after="120" w:line="257" w:lineRule="auto"/>
              <w:contextualSpacing/>
              <w:rPr>
                <w:sz w:val="24"/>
              </w:rPr>
            </w:pPr>
            <w:r w:rsidRPr="006C6941">
              <w:rPr>
                <w:sz w:val="24"/>
              </w:rPr>
              <w:t>CMT reviewed</w:t>
            </w:r>
            <w:r w:rsidR="002D3145" w:rsidRPr="006C6941">
              <w:rPr>
                <w:sz w:val="24"/>
              </w:rPr>
              <w:t xml:space="preserve"> unallocated budgets each week v demands/operational issues.</w:t>
            </w:r>
          </w:p>
          <w:p w14:paraId="6C0F2525" w14:textId="77777777" w:rsidR="002D3145" w:rsidRPr="006C6941" w:rsidRDefault="002D3145" w:rsidP="006C6941">
            <w:pPr>
              <w:numPr>
                <w:ilvl w:val="0"/>
                <w:numId w:val="3"/>
              </w:numPr>
              <w:spacing w:before="120" w:after="120" w:line="257" w:lineRule="auto"/>
              <w:contextualSpacing/>
              <w:rPr>
                <w:sz w:val="24"/>
              </w:rPr>
            </w:pPr>
            <w:r w:rsidRPr="006C6941">
              <w:rPr>
                <w:sz w:val="24"/>
              </w:rPr>
              <w:t>Management Accounts produced each month.</w:t>
            </w:r>
          </w:p>
          <w:p w14:paraId="1C10FCCC" w14:textId="4DABA913" w:rsidR="002D3145" w:rsidRPr="006C6941" w:rsidRDefault="002D3145" w:rsidP="006C6941">
            <w:pPr>
              <w:numPr>
                <w:ilvl w:val="0"/>
                <w:numId w:val="3"/>
              </w:numPr>
              <w:spacing w:before="120" w:after="120" w:line="257" w:lineRule="auto"/>
              <w:contextualSpacing/>
              <w:rPr>
                <w:sz w:val="24"/>
              </w:rPr>
            </w:pPr>
            <w:proofErr w:type="gramStart"/>
            <w:r w:rsidRPr="006C6941">
              <w:rPr>
                <w:sz w:val="24"/>
              </w:rPr>
              <w:t>y/e</w:t>
            </w:r>
            <w:proofErr w:type="gramEnd"/>
            <w:r w:rsidRPr="006C6941">
              <w:rPr>
                <w:sz w:val="24"/>
              </w:rPr>
              <w:t xml:space="preserve"> Forecasts </w:t>
            </w:r>
            <w:r w:rsidR="009A6F77" w:rsidRPr="006C6941">
              <w:rPr>
                <w:sz w:val="24"/>
              </w:rPr>
              <w:t>produced</w:t>
            </w:r>
            <w:r w:rsidRPr="006C6941">
              <w:rPr>
                <w:sz w:val="24"/>
              </w:rPr>
              <w:t>.</w:t>
            </w:r>
          </w:p>
          <w:p w14:paraId="52BED76E" w14:textId="11C99ECA" w:rsidR="002D3145" w:rsidRPr="006C6941" w:rsidRDefault="002D3145" w:rsidP="006C6941">
            <w:pPr>
              <w:numPr>
                <w:ilvl w:val="0"/>
                <w:numId w:val="3"/>
              </w:numPr>
              <w:spacing w:before="120" w:after="120" w:line="257" w:lineRule="auto"/>
              <w:contextualSpacing/>
              <w:rPr>
                <w:sz w:val="24"/>
              </w:rPr>
            </w:pPr>
            <w:r w:rsidRPr="006C6941">
              <w:rPr>
                <w:sz w:val="24"/>
              </w:rPr>
              <w:t>Target savings of £270k in 2019/20 to come from workforce savings</w:t>
            </w:r>
            <w:r w:rsidR="00D7451B" w:rsidRPr="006C6941">
              <w:rPr>
                <w:sz w:val="24"/>
              </w:rPr>
              <w:t>.</w:t>
            </w:r>
          </w:p>
          <w:p w14:paraId="7E5B6F13" w14:textId="77777777" w:rsidR="002D3145" w:rsidRPr="006C6941" w:rsidRDefault="002D3145" w:rsidP="006C6941">
            <w:pPr>
              <w:numPr>
                <w:ilvl w:val="0"/>
                <w:numId w:val="3"/>
              </w:numPr>
              <w:spacing w:before="120" w:after="120" w:line="257" w:lineRule="auto"/>
              <w:contextualSpacing/>
              <w:rPr>
                <w:sz w:val="24"/>
              </w:rPr>
            </w:pPr>
            <w:r w:rsidRPr="006C6941">
              <w:rPr>
                <w:sz w:val="24"/>
              </w:rPr>
              <w:t>Efficiency savings of £325k taken in 2018/19 and a further £75k in 2019/20 taken as recurring as part of £15m across the National Boards. No further contribution other than self-funding collaboration savings to be taken.</w:t>
            </w:r>
          </w:p>
          <w:p w14:paraId="14C11D1F" w14:textId="77777777" w:rsidR="002D3145" w:rsidRPr="006C6941" w:rsidRDefault="002D3145" w:rsidP="006C6941">
            <w:pPr>
              <w:numPr>
                <w:ilvl w:val="0"/>
                <w:numId w:val="3"/>
              </w:numPr>
              <w:spacing w:before="120" w:after="120" w:line="257" w:lineRule="auto"/>
              <w:contextualSpacing/>
              <w:rPr>
                <w:sz w:val="24"/>
              </w:rPr>
            </w:pPr>
            <w:r w:rsidRPr="006C6941">
              <w:rPr>
                <w:sz w:val="24"/>
              </w:rPr>
              <w:t xml:space="preserve">Pay award in year for </w:t>
            </w:r>
            <w:proofErr w:type="spellStart"/>
            <w:r w:rsidRPr="006C6941">
              <w:rPr>
                <w:sz w:val="24"/>
              </w:rPr>
              <w:t>afc</w:t>
            </w:r>
            <w:proofErr w:type="spellEnd"/>
            <w:r w:rsidRPr="006C6941">
              <w:rPr>
                <w:sz w:val="24"/>
              </w:rPr>
              <w:t xml:space="preserve"> staff &gt; 1% provided at £237k recurring in the year.</w:t>
            </w:r>
          </w:p>
          <w:p w14:paraId="4873B891" w14:textId="77777777" w:rsidR="005E26E3" w:rsidRPr="006C6941" w:rsidRDefault="002D3145" w:rsidP="006C6941">
            <w:pPr>
              <w:numPr>
                <w:ilvl w:val="0"/>
                <w:numId w:val="3"/>
              </w:numPr>
              <w:spacing w:before="120" w:after="120" w:line="257" w:lineRule="auto"/>
              <w:contextualSpacing/>
              <w:rPr>
                <w:sz w:val="24"/>
              </w:rPr>
            </w:pPr>
            <w:r w:rsidRPr="006C6941">
              <w:rPr>
                <w:sz w:val="24"/>
              </w:rPr>
              <w:t>Additional employer contributions of 6% to be funded by the Scottish Government to all B</w:t>
            </w:r>
            <w:r w:rsidR="001D5B2A" w:rsidRPr="006C6941">
              <w:rPr>
                <w:sz w:val="24"/>
              </w:rPr>
              <w:t xml:space="preserve">oards. Confirmed at National </w:t>
            </w:r>
            <w:proofErr w:type="spellStart"/>
            <w:r w:rsidR="001D5B2A" w:rsidRPr="006C6941">
              <w:rPr>
                <w:sz w:val="24"/>
              </w:rPr>
              <w:t>DoF</w:t>
            </w:r>
            <w:r w:rsidRPr="006C6941">
              <w:rPr>
                <w:sz w:val="24"/>
              </w:rPr>
              <w:t>s</w:t>
            </w:r>
            <w:proofErr w:type="spellEnd"/>
            <w:r w:rsidRPr="006C6941">
              <w:rPr>
                <w:sz w:val="24"/>
              </w:rPr>
              <w:t xml:space="preserve"> meeting 11 April 19.</w:t>
            </w:r>
          </w:p>
          <w:p w14:paraId="1D75721A" w14:textId="22E950C0" w:rsidR="00B472D3" w:rsidRPr="006C6941" w:rsidRDefault="00B472D3" w:rsidP="006C6941">
            <w:pPr>
              <w:numPr>
                <w:ilvl w:val="0"/>
                <w:numId w:val="3"/>
              </w:numPr>
              <w:spacing w:before="120" w:after="120" w:line="257" w:lineRule="auto"/>
              <w:contextualSpacing/>
              <w:rPr>
                <w:sz w:val="24"/>
              </w:rPr>
            </w:pPr>
            <w:r w:rsidRPr="006C6941">
              <w:rPr>
                <w:sz w:val="24"/>
              </w:rPr>
              <w:t xml:space="preserve">Risk </w:t>
            </w:r>
            <w:r w:rsidR="001125AF" w:rsidRPr="006C6941">
              <w:rPr>
                <w:sz w:val="24"/>
              </w:rPr>
              <w:t xml:space="preserve">18-1 </w:t>
            </w:r>
            <w:r w:rsidRPr="006C6941">
              <w:rPr>
                <w:sz w:val="24"/>
              </w:rPr>
              <w:t>revised for 2019/20 reflecting changing circumstances.</w:t>
            </w:r>
          </w:p>
        </w:tc>
      </w:tr>
      <w:tr w:rsidR="005D29B8" w:rsidRPr="005E26E3" w14:paraId="6933E7A3" w14:textId="77777777" w:rsidTr="006C6941">
        <w:trPr>
          <w:trHeight w:val="699"/>
        </w:trPr>
        <w:tc>
          <w:tcPr>
            <w:tcW w:w="704" w:type="dxa"/>
          </w:tcPr>
          <w:p w14:paraId="1EC4CADA" w14:textId="61E87476" w:rsidR="005D29B8" w:rsidRPr="005E26E3" w:rsidRDefault="00EB2ED6" w:rsidP="006C6941">
            <w:pPr>
              <w:rPr>
                <w:rFonts w:cs="Arial"/>
                <w:sz w:val="24"/>
                <w:szCs w:val="24"/>
              </w:rPr>
            </w:pPr>
            <w:r>
              <w:rPr>
                <w:rFonts w:cs="Arial"/>
                <w:sz w:val="24"/>
                <w:szCs w:val="24"/>
              </w:rPr>
              <w:t>18</w:t>
            </w:r>
            <w:r w:rsidR="005D29B8">
              <w:rPr>
                <w:rFonts w:cs="Arial"/>
                <w:sz w:val="24"/>
                <w:szCs w:val="24"/>
              </w:rPr>
              <w:t>-2</w:t>
            </w:r>
          </w:p>
        </w:tc>
        <w:tc>
          <w:tcPr>
            <w:tcW w:w="6209" w:type="dxa"/>
          </w:tcPr>
          <w:p w14:paraId="7EA6BFB2" w14:textId="2DC8AC68" w:rsidR="005D29B8" w:rsidRPr="005E26E3" w:rsidRDefault="00EB2ED6" w:rsidP="006C6941">
            <w:pPr>
              <w:pStyle w:val="Default"/>
            </w:pPr>
            <w:r w:rsidRPr="007A66C0">
              <w:t>As a result of needing more of our resources than anticipated to manage the transition to the new public health body, there is a risk we do not deliver all our commitments for 2018/19.</w:t>
            </w:r>
          </w:p>
        </w:tc>
        <w:tc>
          <w:tcPr>
            <w:tcW w:w="7966" w:type="dxa"/>
          </w:tcPr>
          <w:p w14:paraId="5D6F1F92" w14:textId="46E911FC" w:rsidR="002D3145" w:rsidRPr="006C6941" w:rsidRDefault="00B83F3E" w:rsidP="006C6941">
            <w:pPr>
              <w:numPr>
                <w:ilvl w:val="0"/>
                <w:numId w:val="11"/>
              </w:numPr>
              <w:spacing w:after="120" w:line="257" w:lineRule="auto"/>
              <w:contextualSpacing/>
              <w:rPr>
                <w:sz w:val="24"/>
              </w:rPr>
            </w:pPr>
            <w:r w:rsidRPr="006C6941">
              <w:rPr>
                <w:sz w:val="24"/>
              </w:rPr>
              <w:t>Commissioners reviewed</w:t>
            </w:r>
            <w:r w:rsidR="002D3145" w:rsidRPr="006C6941">
              <w:rPr>
                <w:sz w:val="24"/>
              </w:rPr>
              <w:t xml:space="preserve"> business plan including deliverables each month.</w:t>
            </w:r>
          </w:p>
          <w:p w14:paraId="0B1B079F" w14:textId="7B98D573" w:rsidR="002D3145" w:rsidRPr="006C6941" w:rsidRDefault="00B83F3E" w:rsidP="006C6941">
            <w:pPr>
              <w:numPr>
                <w:ilvl w:val="0"/>
                <w:numId w:val="11"/>
              </w:numPr>
              <w:spacing w:before="120" w:after="120" w:line="257" w:lineRule="auto"/>
              <w:contextualSpacing/>
              <w:rPr>
                <w:sz w:val="24"/>
              </w:rPr>
            </w:pPr>
            <w:r w:rsidRPr="006C6941">
              <w:rPr>
                <w:sz w:val="24"/>
              </w:rPr>
              <w:t>CMT/COG reviewed</w:t>
            </w:r>
            <w:r w:rsidR="002D3145" w:rsidRPr="006C6941">
              <w:rPr>
                <w:sz w:val="24"/>
              </w:rPr>
              <w:t xml:space="preserve"> demands across the organization on an ongoing basis.</w:t>
            </w:r>
          </w:p>
          <w:p w14:paraId="27002199" w14:textId="77777777" w:rsidR="002D3145" w:rsidRPr="006C6941" w:rsidRDefault="002D3145" w:rsidP="006C6941">
            <w:pPr>
              <w:numPr>
                <w:ilvl w:val="0"/>
                <w:numId w:val="11"/>
              </w:numPr>
              <w:spacing w:before="120"/>
              <w:rPr>
                <w:sz w:val="24"/>
              </w:rPr>
            </w:pPr>
            <w:r w:rsidRPr="006C6941">
              <w:rPr>
                <w:sz w:val="24"/>
              </w:rPr>
              <w:t>Controls in place will help in delivering our commitments for 2019/20</w:t>
            </w:r>
          </w:p>
          <w:p w14:paraId="1D47A298" w14:textId="77777777" w:rsidR="005D29B8" w:rsidRPr="006C6941" w:rsidRDefault="002D3145" w:rsidP="006C6941">
            <w:pPr>
              <w:numPr>
                <w:ilvl w:val="0"/>
                <w:numId w:val="11"/>
              </w:numPr>
              <w:rPr>
                <w:sz w:val="24"/>
              </w:rPr>
            </w:pPr>
            <w:r w:rsidRPr="006C6941">
              <w:rPr>
                <w:sz w:val="24"/>
              </w:rPr>
              <w:t xml:space="preserve">Additional funding available subject to case being submitted and approved should deliverables not be delivered due to lack of finance. </w:t>
            </w:r>
          </w:p>
          <w:p w14:paraId="5E1510D7" w14:textId="36D3DA7D" w:rsidR="001125AF" w:rsidRPr="006C6941" w:rsidRDefault="001125AF" w:rsidP="006C6941">
            <w:pPr>
              <w:numPr>
                <w:ilvl w:val="0"/>
                <w:numId w:val="11"/>
              </w:numPr>
              <w:rPr>
                <w:sz w:val="24"/>
              </w:rPr>
            </w:pPr>
            <w:r w:rsidRPr="006C6941">
              <w:rPr>
                <w:sz w:val="24"/>
              </w:rPr>
              <w:t>Risk 18-2 revised for 2019/20 reflecting changing circumstances.</w:t>
            </w:r>
          </w:p>
        </w:tc>
      </w:tr>
      <w:tr w:rsidR="005D29B8" w:rsidRPr="005E26E3" w14:paraId="42981350" w14:textId="77777777" w:rsidTr="006C6941">
        <w:trPr>
          <w:trHeight w:val="274"/>
        </w:trPr>
        <w:tc>
          <w:tcPr>
            <w:tcW w:w="704" w:type="dxa"/>
          </w:tcPr>
          <w:p w14:paraId="074A48C3" w14:textId="62B42A6A" w:rsidR="005D29B8" w:rsidRPr="005E26E3" w:rsidRDefault="00EB2ED6" w:rsidP="006C6941">
            <w:pPr>
              <w:rPr>
                <w:rFonts w:cs="Arial"/>
                <w:sz w:val="24"/>
                <w:szCs w:val="24"/>
              </w:rPr>
            </w:pPr>
            <w:r>
              <w:rPr>
                <w:rFonts w:cs="Arial"/>
                <w:sz w:val="24"/>
                <w:szCs w:val="24"/>
              </w:rPr>
              <w:lastRenderedPageBreak/>
              <w:t>18</w:t>
            </w:r>
            <w:r w:rsidR="005D29B8">
              <w:rPr>
                <w:rFonts w:cs="Arial"/>
                <w:sz w:val="24"/>
                <w:szCs w:val="24"/>
              </w:rPr>
              <w:t>-3</w:t>
            </w:r>
          </w:p>
        </w:tc>
        <w:tc>
          <w:tcPr>
            <w:tcW w:w="6209" w:type="dxa"/>
          </w:tcPr>
          <w:p w14:paraId="47D60D92" w14:textId="34CC113B" w:rsidR="005D29B8" w:rsidRPr="005E26E3" w:rsidRDefault="00EB2ED6" w:rsidP="006C6941">
            <w:pPr>
              <w:pStyle w:val="Default"/>
            </w:pPr>
            <w:r w:rsidRPr="007A66C0">
              <w:t>As a result of the transition of governance to the new public health body or a lack of contingency planning for a delayed start date, there is a risk there are gaps in accountability, resulting in reputational damage.</w:t>
            </w:r>
          </w:p>
        </w:tc>
        <w:tc>
          <w:tcPr>
            <w:tcW w:w="7966" w:type="dxa"/>
          </w:tcPr>
          <w:p w14:paraId="1791A153" w14:textId="09991F48" w:rsidR="00F2457A" w:rsidRPr="006C6941" w:rsidRDefault="00B860E7" w:rsidP="006C6941">
            <w:pPr>
              <w:pStyle w:val="ListParagraph"/>
              <w:numPr>
                <w:ilvl w:val="0"/>
                <w:numId w:val="13"/>
              </w:numPr>
              <w:spacing w:line="257" w:lineRule="auto"/>
              <w:rPr>
                <w:sz w:val="24"/>
              </w:rPr>
            </w:pPr>
            <w:r w:rsidRPr="006C6941">
              <w:rPr>
                <w:sz w:val="24"/>
              </w:rPr>
              <w:t xml:space="preserve">While </w:t>
            </w:r>
            <w:r w:rsidR="00F2457A" w:rsidRPr="006C6941">
              <w:rPr>
                <w:sz w:val="24"/>
              </w:rPr>
              <w:t xml:space="preserve">working on the assumption that the Health Scotland Board will cease to exist in November 2019, </w:t>
            </w:r>
            <w:r w:rsidRPr="006C6941">
              <w:rPr>
                <w:sz w:val="24"/>
              </w:rPr>
              <w:t xml:space="preserve">we agreed to plan for a full financial year. </w:t>
            </w:r>
          </w:p>
          <w:p w14:paraId="011DD872" w14:textId="01A27808" w:rsidR="002D3145" w:rsidRPr="006C6941" w:rsidRDefault="002D3145" w:rsidP="006C6941">
            <w:pPr>
              <w:pStyle w:val="ListParagraph"/>
              <w:numPr>
                <w:ilvl w:val="0"/>
                <w:numId w:val="13"/>
              </w:numPr>
              <w:spacing w:line="257" w:lineRule="auto"/>
              <w:rPr>
                <w:sz w:val="24"/>
              </w:rPr>
            </w:pPr>
            <w:r w:rsidRPr="006C6941">
              <w:rPr>
                <w:sz w:val="24"/>
              </w:rPr>
              <w:t>The Board approve</w:t>
            </w:r>
            <w:r w:rsidR="00F2457A" w:rsidRPr="006C6941">
              <w:rPr>
                <w:sz w:val="24"/>
              </w:rPr>
              <w:t>d</w:t>
            </w:r>
            <w:r w:rsidRPr="006C6941">
              <w:rPr>
                <w:sz w:val="24"/>
              </w:rPr>
              <w:t xml:space="preserve"> a </w:t>
            </w:r>
            <w:r w:rsidR="00B860E7" w:rsidRPr="006C6941">
              <w:rPr>
                <w:sz w:val="24"/>
              </w:rPr>
              <w:t xml:space="preserve">suite of plans in </w:t>
            </w:r>
            <w:r w:rsidRPr="006C6941">
              <w:rPr>
                <w:sz w:val="24"/>
              </w:rPr>
              <w:t xml:space="preserve">March 2019 </w:t>
            </w:r>
            <w:r w:rsidR="00B860E7" w:rsidRPr="006C6941">
              <w:rPr>
                <w:sz w:val="24"/>
              </w:rPr>
              <w:t xml:space="preserve">which incorporated the Delivery Plan, Workforce Plan and PAMS, as well as the </w:t>
            </w:r>
            <w:proofErr w:type="gramStart"/>
            <w:r w:rsidRPr="006C6941">
              <w:rPr>
                <w:sz w:val="24"/>
              </w:rPr>
              <w:t>Financial</w:t>
            </w:r>
            <w:proofErr w:type="gramEnd"/>
            <w:r w:rsidRPr="006C6941">
              <w:rPr>
                <w:sz w:val="24"/>
              </w:rPr>
              <w:t xml:space="preserve"> plan 2019/20</w:t>
            </w:r>
            <w:r w:rsidR="00B860E7" w:rsidRPr="006C6941">
              <w:rPr>
                <w:sz w:val="24"/>
              </w:rPr>
              <w:t xml:space="preserve"> and workforce planning assumptions. </w:t>
            </w:r>
            <w:r w:rsidRPr="006C6941">
              <w:rPr>
                <w:sz w:val="24"/>
              </w:rPr>
              <w:t xml:space="preserve"> </w:t>
            </w:r>
          </w:p>
          <w:p w14:paraId="710532CD" w14:textId="77777777" w:rsidR="002D3145" w:rsidRPr="006C6941" w:rsidRDefault="002D3145" w:rsidP="006C6941">
            <w:pPr>
              <w:pStyle w:val="ListParagraph"/>
              <w:numPr>
                <w:ilvl w:val="0"/>
                <w:numId w:val="13"/>
              </w:numPr>
              <w:spacing w:line="256" w:lineRule="auto"/>
              <w:rPr>
                <w:sz w:val="24"/>
              </w:rPr>
            </w:pPr>
            <w:r w:rsidRPr="006C6941">
              <w:rPr>
                <w:sz w:val="24"/>
              </w:rPr>
              <w:t>The process for approving the 2019/20 annual accounts is being explored and proposals will come to Audit Committee.</w:t>
            </w:r>
          </w:p>
          <w:p w14:paraId="7871C200" w14:textId="77777777" w:rsidR="005D29B8" w:rsidRPr="006C6941" w:rsidRDefault="002D3145" w:rsidP="006C6941">
            <w:pPr>
              <w:pStyle w:val="ListParagraph"/>
              <w:numPr>
                <w:ilvl w:val="0"/>
                <w:numId w:val="13"/>
              </w:numPr>
              <w:spacing w:line="256" w:lineRule="auto"/>
              <w:rPr>
                <w:sz w:val="24"/>
              </w:rPr>
            </w:pPr>
            <w:r w:rsidRPr="006C6941">
              <w:rPr>
                <w:sz w:val="24"/>
              </w:rPr>
              <w:t xml:space="preserve">The </w:t>
            </w:r>
            <w:r w:rsidR="00625C79" w:rsidRPr="006C6941">
              <w:rPr>
                <w:sz w:val="24"/>
              </w:rPr>
              <w:t xml:space="preserve">risks in potential </w:t>
            </w:r>
            <w:r w:rsidRPr="006C6941">
              <w:rPr>
                <w:sz w:val="24"/>
              </w:rPr>
              <w:t xml:space="preserve">delay </w:t>
            </w:r>
            <w:r w:rsidR="00625C79" w:rsidRPr="006C6941">
              <w:rPr>
                <w:sz w:val="24"/>
              </w:rPr>
              <w:t xml:space="preserve">to public health reform on governance issues were very regularly discussed and contingency plans in place as needed. </w:t>
            </w:r>
          </w:p>
          <w:p w14:paraId="79D384BC" w14:textId="02D6F592" w:rsidR="001125AF" w:rsidRPr="006C6941" w:rsidRDefault="001125AF" w:rsidP="006C6941">
            <w:pPr>
              <w:pStyle w:val="ListParagraph"/>
              <w:numPr>
                <w:ilvl w:val="0"/>
                <w:numId w:val="13"/>
              </w:numPr>
              <w:spacing w:line="256" w:lineRule="auto"/>
              <w:rPr>
                <w:sz w:val="24"/>
              </w:rPr>
            </w:pPr>
            <w:r w:rsidRPr="006C6941">
              <w:rPr>
                <w:sz w:val="24"/>
              </w:rPr>
              <w:t>Risk 18-3 carried over into 2019/20.</w:t>
            </w:r>
          </w:p>
        </w:tc>
      </w:tr>
      <w:tr w:rsidR="00C311F0" w:rsidRPr="005E26E3" w14:paraId="77AD516A" w14:textId="77777777" w:rsidTr="006C6941">
        <w:trPr>
          <w:trHeight w:val="1125"/>
        </w:trPr>
        <w:tc>
          <w:tcPr>
            <w:tcW w:w="704" w:type="dxa"/>
          </w:tcPr>
          <w:p w14:paraId="6822C6E7" w14:textId="011C6474" w:rsidR="00C311F0" w:rsidRDefault="00EB2ED6" w:rsidP="006C6941">
            <w:pPr>
              <w:rPr>
                <w:rFonts w:cs="Arial"/>
                <w:sz w:val="24"/>
                <w:szCs w:val="24"/>
              </w:rPr>
            </w:pPr>
            <w:r>
              <w:rPr>
                <w:rFonts w:cs="Arial"/>
                <w:sz w:val="24"/>
                <w:szCs w:val="24"/>
              </w:rPr>
              <w:t>18</w:t>
            </w:r>
            <w:r w:rsidR="00C311F0">
              <w:rPr>
                <w:rFonts w:cs="Arial"/>
                <w:sz w:val="24"/>
                <w:szCs w:val="24"/>
              </w:rPr>
              <w:t>-4</w:t>
            </w:r>
          </w:p>
        </w:tc>
        <w:tc>
          <w:tcPr>
            <w:tcW w:w="6209" w:type="dxa"/>
          </w:tcPr>
          <w:p w14:paraId="19356A68" w14:textId="39466C3D" w:rsidR="00C311F0" w:rsidRPr="005E26E3" w:rsidRDefault="00EB2ED6" w:rsidP="006C6941">
            <w:pPr>
              <w:pStyle w:val="Default"/>
            </w:pPr>
            <w:r w:rsidRPr="007A66C0">
              <w:t>As a result of issues in the process of creating the new public health body, there is a risk that the different cultures and practices of the legacy bodies become an impediment to the effectiveness of the new body.</w:t>
            </w:r>
          </w:p>
        </w:tc>
        <w:tc>
          <w:tcPr>
            <w:tcW w:w="7966" w:type="dxa"/>
          </w:tcPr>
          <w:p w14:paraId="6051F79B" w14:textId="77777777" w:rsidR="008446AA" w:rsidRPr="006C6941" w:rsidRDefault="002D3145" w:rsidP="006C6941">
            <w:pPr>
              <w:pStyle w:val="ListParagraph"/>
              <w:numPr>
                <w:ilvl w:val="0"/>
                <w:numId w:val="14"/>
              </w:numPr>
              <w:rPr>
                <w:sz w:val="24"/>
              </w:rPr>
            </w:pPr>
            <w:r w:rsidRPr="006C6941">
              <w:rPr>
                <w:sz w:val="24"/>
              </w:rPr>
              <w:t xml:space="preserve">Current strong commitment to </w:t>
            </w:r>
            <w:proofErr w:type="spellStart"/>
            <w:r w:rsidRPr="006C6941">
              <w:rPr>
                <w:sz w:val="24"/>
              </w:rPr>
              <w:t>iMatter</w:t>
            </w:r>
            <w:proofErr w:type="spellEnd"/>
            <w:r w:rsidRPr="006C6941">
              <w:rPr>
                <w:sz w:val="24"/>
              </w:rPr>
              <w:t xml:space="preserve">, </w:t>
            </w:r>
            <w:proofErr w:type="spellStart"/>
            <w:r w:rsidRPr="006C6941">
              <w:rPr>
                <w:sz w:val="24"/>
              </w:rPr>
              <w:t>Turas</w:t>
            </w:r>
            <w:proofErr w:type="spellEnd"/>
            <w:r w:rsidRPr="006C6941">
              <w:rPr>
                <w:sz w:val="24"/>
              </w:rPr>
              <w:t>, Partnership working, governance structures, financial and performance reporting.</w:t>
            </w:r>
          </w:p>
          <w:p w14:paraId="36178841" w14:textId="77777777" w:rsidR="00C311F0" w:rsidRPr="006C6941" w:rsidRDefault="001230A6" w:rsidP="006C6941">
            <w:pPr>
              <w:pStyle w:val="ListParagraph"/>
              <w:numPr>
                <w:ilvl w:val="0"/>
                <w:numId w:val="14"/>
              </w:numPr>
              <w:rPr>
                <w:sz w:val="24"/>
              </w:rPr>
            </w:pPr>
            <w:r w:rsidRPr="006C6941">
              <w:rPr>
                <w:sz w:val="24"/>
              </w:rPr>
              <w:t>C</w:t>
            </w:r>
            <w:r w:rsidR="002D3145" w:rsidRPr="006C6941">
              <w:rPr>
                <w:sz w:val="24"/>
              </w:rPr>
              <w:t>ulture of the new organisation considered within the Organisational Development Commission.</w:t>
            </w:r>
          </w:p>
          <w:p w14:paraId="34166A08" w14:textId="77777777" w:rsidR="00FE09B0" w:rsidRPr="006C6941" w:rsidRDefault="00FE09B0" w:rsidP="006C6941">
            <w:pPr>
              <w:pStyle w:val="ListParagraph"/>
              <w:numPr>
                <w:ilvl w:val="0"/>
                <w:numId w:val="14"/>
              </w:numPr>
              <w:rPr>
                <w:sz w:val="24"/>
              </w:rPr>
            </w:pPr>
            <w:r w:rsidRPr="006C6941">
              <w:rPr>
                <w:sz w:val="24"/>
              </w:rPr>
              <w:t>Joint meetings between the senior management teams of Health Scotland and PHI established to run through the course of 2019/20.</w:t>
            </w:r>
          </w:p>
          <w:p w14:paraId="313FCD22" w14:textId="67D4E2A7" w:rsidR="00911A5C" w:rsidRPr="006C6941" w:rsidRDefault="00911A5C" w:rsidP="006C6941">
            <w:pPr>
              <w:pStyle w:val="ListParagraph"/>
              <w:numPr>
                <w:ilvl w:val="0"/>
                <w:numId w:val="14"/>
              </w:numPr>
              <w:rPr>
                <w:sz w:val="24"/>
              </w:rPr>
            </w:pPr>
            <w:r w:rsidRPr="006C6941">
              <w:rPr>
                <w:sz w:val="24"/>
              </w:rPr>
              <w:t>Risk 18-4 revised for 2019/20 reflecting changing circumstances.</w:t>
            </w:r>
          </w:p>
        </w:tc>
      </w:tr>
      <w:tr w:rsidR="00C311F0" w:rsidRPr="005E26E3" w14:paraId="410F3004" w14:textId="77777777" w:rsidTr="006C6941">
        <w:trPr>
          <w:trHeight w:val="2105"/>
        </w:trPr>
        <w:tc>
          <w:tcPr>
            <w:tcW w:w="704" w:type="dxa"/>
          </w:tcPr>
          <w:p w14:paraId="2E7EC713" w14:textId="4422F8CB" w:rsidR="00C311F0" w:rsidRDefault="00EB2ED6" w:rsidP="006C6941">
            <w:pPr>
              <w:rPr>
                <w:rFonts w:cs="Arial"/>
                <w:sz w:val="24"/>
                <w:szCs w:val="24"/>
              </w:rPr>
            </w:pPr>
            <w:r>
              <w:rPr>
                <w:rFonts w:cs="Arial"/>
                <w:sz w:val="24"/>
                <w:szCs w:val="24"/>
              </w:rPr>
              <w:t>18</w:t>
            </w:r>
            <w:r w:rsidR="00C311F0">
              <w:rPr>
                <w:rFonts w:cs="Arial"/>
                <w:sz w:val="24"/>
                <w:szCs w:val="24"/>
              </w:rPr>
              <w:t>-5</w:t>
            </w:r>
          </w:p>
        </w:tc>
        <w:tc>
          <w:tcPr>
            <w:tcW w:w="6209" w:type="dxa"/>
          </w:tcPr>
          <w:p w14:paraId="50A7EE01" w14:textId="4118B8F9" w:rsidR="00C311F0" w:rsidRPr="005E26E3" w:rsidRDefault="00EB2ED6" w:rsidP="006C6941">
            <w:pPr>
              <w:pStyle w:val="Default"/>
            </w:pPr>
            <w:r w:rsidRPr="007A66C0">
              <w:t>As a result of changes to the new public health body and shared services, there is a risk of an impact on productivity and staff turnover, and so we do not deliver all our commitments for 2018/19. </w:t>
            </w:r>
          </w:p>
        </w:tc>
        <w:tc>
          <w:tcPr>
            <w:tcW w:w="7966" w:type="dxa"/>
          </w:tcPr>
          <w:p w14:paraId="1F92B77D" w14:textId="556F60BF" w:rsidR="00473828" w:rsidRPr="006C6941" w:rsidRDefault="002D3145" w:rsidP="006C6941">
            <w:pPr>
              <w:pStyle w:val="ListParagraph"/>
              <w:numPr>
                <w:ilvl w:val="0"/>
                <w:numId w:val="12"/>
              </w:numPr>
              <w:rPr>
                <w:sz w:val="24"/>
              </w:rPr>
            </w:pPr>
            <w:r w:rsidRPr="006C6941">
              <w:rPr>
                <w:sz w:val="24"/>
              </w:rPr>
              <w:t xml:space="preserve">Impact on productivity monitored monthly and reported through quarterly reporting and staff turnover is monitored monthly through HR and reported through Partnership Forum.  </w:t>
            </w:r>
          </w:p>
          <w:p w14:paraId="31936517" w14:textId="4957C137" w:rsidR="00473828" w:rsidRPr="006C6941" w:rsidRDefault="002D3145" w:rsidP="006C6941">
            <w:pPr>
              <w:pStyle w:val="ListParagraph"/>
              <w:numPr>
                <w:ilvl w:val="0"/>
                <w:numId w:val="12"/>
              </w:numPr>
              <w:rPr>
                <w:sz w:val="24"/>
              </w:rPr>
            </w:pPr>
            <w:r w:rsidRPr="006C6941">
              <w:rPr>
                <w:sz w:val="24"/>
              </w:rPr>
              <w:t xml:space="preserve">The Commissioning Group </w:t>
            </w:r>
            <w:r w:rsidR="00473828" w:rsidRPr="006C6941">
              <w:rPr>
                <w:sz w:val="24"/>
              </w:rPr>
              <w:t>monitored</w:t>
            </w:r>
            <w:r w:rsidRPr="006C6941">
              <w:rPr>
                <w:sz w:val="24"/>
              </w:rPr>
              <w:t xml:space="preserve"> overall progress against strategic priorities and delivery commitments with the responsibility to reallocate available spend to struggling delivery commitments.  </w:t>
            </w:r>
          </w:p>
          <w:p w14:paraId="6D07FCD4" w14:textId="77777777" w:rsidR="00C311F0" w:rsidRPr="006C6941" w:rsidRDefault="00473828" w:rsidP="006C6941">
            <w:pPr>
              <w:pStyle w:val="ListParagraph"/>
              <w:numPr>
                <w:ilvl w:val="0"/>
                <w:numId w:val="12"/>
              </w:numPr>
              <w:rPr>
                <w:sz w:val="24"/>
              </w:rPr>
            </w:pPr>
            <w:r w:rsidRPr="006C6941">
              <w:rPr>
                <w:sz w:val="24"/>
              </w:rPr>
              <w:t>O</w:t>
            </w:r>
            <w:r w:rsidR="002D3145" w:rsidRPr="006C6941">
              <w:rPr>
                <w:sz w:val="24"/>
              </w:rPr>
              <w:t>perational plan encourage</w:t>
            </w:r>
            <w:r w:rsidRPr="006C6941">
              <w:rPr>
                <w:sz w:val="24"/>
              </w:rPr>
              <w:t>d</w:t>
            </w:r>
            <w:r w:rsidR="002D3145" w:rsidRPr="006C6941">
              <w:rPr>
                <w:sz w:val="24"/>
              </w:rPr>
              <w:t xml:space="preserve"> staff to provide some unallocated delivery time to help with delivery and unexpected demands.  </w:t>
            </w:r>
          </w:p>
          <w:p w14:paraId="55628EDA" w14:textId="36ABB331" w:rsidR="00911A5C" w:rsidRPr="006C6941" w:rsidRDefault="00911A5C" w:rsidP="006C6941">
            <w:pPr>
              <w:pStyle w:val="ListParagraph"/>
              <w:numPr>
                <w:ilvl w:val="0"/>
                <w:numId w:val="12"/>
              </w:numPr>
              <w:rPr>
                <w:sz w:val="24"/>
              </w:rPr>
            </w:pPr>
            <w:r w:rsidRPr="006C6941">
              <w:rPr>
                <w:sz w:val="24"/>
              </w:rPr>
              <w:t>Risk 18-5 revised for 2019/20 reflecting changing circumstances.</w:t>
            </w:r>
          </w:p>
        </w:tc>
      </w:tr>
      <w:tr w:rsidR="00C311F0" w:rsidRPr="005E26E3" w14:paraId="6ECB2621" w14:textId="77777777" w:rsidTr="006C6941">
        <w:trPr>
          <w:trHeight w:val="1553"/>
        </w:trPr>
        <w:tc>
          <w:tcPr>
            <w:tcW w:w="704" w:type="dxa"/>
          </w:tcPr>
          <w:p w14:paraId="4F186F3C" w14:textId="353ABC5F" w:rsidR="00C311F0" w:rsidRDefault="00EB2ED6" w:rsidP="006C6941">
            <w:pPr>
              <w:rPr>
                <w:rFonts w:cs="Arial"/>
                <w:sz w:val="24"/>
                <w:szCs w:val="24"/>
              </w:rPr>
            </w:pPr>
            <w:r>
              <w:rPr>
                <w:rFonts w:cs="Arial"/>
                <w:sz w:val="24"/>
                <w:szCs w:val="24"/>
              </w:rPr>
              <w:lastRenderedPageBreak/>
              <w:t>18</w:t>
            </w:r>
            <w:r w:rsidR="00C311F0">
              <w:rPr>
                <w:rFonts w:cs="Arial"/>
                <w:sz w:val="24"/>
                <w:szCs w:val="24"/>
              </w:rPr>
              <w:t>-6</w:t>
            </w:r>
          </w:p>
        </w:tc>
        <w:tc>
          <w:tcPr>
            <w:tcW w:w="6209" w:type="dxa"/>
          </w:tcPr>
          <w:p w14:paraId="77703007" w14:textId="4526065A" w:rsidR="00C311F0" w:rsidRPr="005E26E3" w:rsidRDefault="00EB2ED6" w:rsidP="006C6941">
            <w:pPr>
              <w:pStyle w:val="Default"/>
            </w:pPr>
            <w:r w:rsidRPr="007A66C0">
              <w:t>As a result of not engaging local authority and third sectors in creating the new public health body, key perspectives are not heard, reducing its credibility.</w:t>
            </w:r>
          </w:p>
        </w:tc>
        <w:tc>
          <w:tcPr>
            <w:tcW w:w="7966" w:type="dxa"/>
          </w:tcPr>
          <w:p w14:paraId="1CF22993" w14:textId="25088B5E" w:rsidR="002A10EA" w:rsidRPr="006C6941" w:rsidRDefault="002D3145" w:rsidP="006C6941">
            <w:pPr>
              <w:pStyle w:val="ListParagraph"/>
              <w:numPr>
                <w:ilvl w:val="0"/>
                <w:numId w:val="12"/>
              </w:numPr>
              <w:rPr>
                <w:sz w:val="24"/>
              </w:rPr>
            </w:pPr>
            <w:r w:rsidRPr="006C6941">
              <w:rPr>
                <w:sz w:val="24"/>
              </w:rPr>
              <w:t>Stakeholder strategy approved by the Board</w:t>
            </w:r>
            <w:r w:rsidR="00BC0D22" w:rsidRPr="006C6941">
              <w:rPr>
                <w:sz w:val="24"/>
              </w:rPr>
              <w:t xml:space="preserve"> and subsequently revised as</w:t>
            </w:r>
            <w:r w:rsidR="00344187">
              <w:rPr>
                <w:sz w:val="24"/>
              </w:rPr>
              <w:t xml:space="preserve"> Transition and Influence plan.</w:t>
            </w:r>
          </w:p>
          <w:p w14:paraId="069FF685" w14:textId="53D6DFD5" w:rsidR="00C311F0" w:rsidRPr="006C6941" w:rsidRDefault="002D3145" w:rsidP="006C6941">
            <w:pPr>
              <w:pStyle w:val="ListParagraph"/>
              <w:numPr>
                <w:ilvl w:val="0"/>
                <w:numId w:val="12"/>
              </w:numPr>
              <w:rPr>
                <w:sz w:val="24"/>
              </w:rPr>
            </w:pPr>
            <w:r w:rsidRPr="006C6941">
              <w:rPr>
                <w:sz w:val="24"/>
              </w:rPr>
              <w:t>Stakeholder engagement captured weekly at Directors meeting</w:t>
            </w:r>
            <w:r w:rsidR="00BC0D22" w:rsidRPr="006C6941">
              <w:rPr>
                <w:sz w:val="24"/>
              </w:rPr>
              <w:t xml:space="preserve">s and highlights reported to the Board via quarterly performance reports and a </w:t>
            </w:r>
            <w:proofErr w:type="spellStart"/>
            <w:r w:rsidR="00BC0D22" w:rsidRPr="006C6941">
              <w:rPr>
                <w:sz w:val="24"/>
              </w:rPr>
              <w:t>mid year</w:t>
            </w:r>
            <w:proofErr w:type="spellEnd"/>
            <w:r w:rsidR="00BC0D22" w:rsidRPr="006C6941">
              <w:rPr>
                <w:sz w:val="24"/>
              </w:rPr>
              <w:t xml:space="preserve"> refresh of the Stakeholder Engagement Plan, which subsequently led to this being revised as the Transition </w:t>
            </w:r>
            <w:r w:rsidR="00344187">
              <w:rPr>
                <w:sz w:val="24"/>
              </w:rPr>
              <w:t>and Influence Plan for 2019/20.</w:t>
            </w:r>
          </w:p>
          <w:p w14:paraId="25EF7794" w14:textId="05327E6E" w:rsidR="00BD07D1" w:rsidRPr="006C6941" w:rsidRDefault="00BD07D1" w:rsidP="006C6941">
            <w:pPr>
              <w:pStyle w:val="ListParagraph"/>
              <w:numPr>
                <w:ilvl w:val="0"/>
                <w:numId w:val="12"/>
              </w:numPr>
              <w:rPr>
                <w:sz w:val="24"/>
              </w:rPr>
            </w:pPr>
            <w:r w:rsidRPr="006C6941">
              <w:rPr>
                <w:sz w:val="24"/>
              </w:rPr>
              <w:t>Risk 18-6 revised for 2019/20 reflecting changing circumstances.</w:t>
            </w:r>
          </w:p>
        </w:tc>
      </w:tr>
    </w:tbl>
    <w:p w14:paraId="56E4CEC6" w14:textId="77777777" w:rsidR="00C13176" w:rsidRDefault="00C13176" w:rsidP="00CE473F">
      <w:pPr>
        <w:rPr>
          <w:b/>
          <w:sz w:val="24"/>
        </w:rPr>
      </w:pPr>
    </w:p>
    <w:p w14:paraId="212A8556" w14:textId="77777777" w:rsidR="00C13176" w:rsidRDefault="00C13176">
      <w:pPr>
        <w:rPr>
          <w:b/>
          <w:sz w:val="24"/>
        </w:rPr>
      </w:pPr>
      <w:r>
        <w:rPr>
          <w:b/>
          <w:sz w:val="24"/>
        </w:rPr>
        <w:br w:type="page"/>
      </w:r>
    </w:p>
    <w:p w14:paraId="3333B693" w14:textId="57A5247F" w:rsidR="00CE473F" w:rsidRPr="006B6FBE" w:rsidRDefault="00CE473F" w:rsidP="00CE473F">
      <w:r>
        <w:rPr>
          <w:b/>
          <w:sz w:val="24"/>
        </w:rPr>
        <w:lastRenderedPageBreak/>
        <w:t>Appendix 2 – NHS Health Scotl</w:t>
      </w:r>
      <w:r w:rsidR="00EB4970">
        <w:rPr>
          <w:b/>
          <w:sz w:val="24"/>
        </w:rPr>
        <w:t>and Corporate Risk Register 2019/20</w:t>
      </w:r>
      <w:r w:rsidRPr="0079451A">
        <w:rPr>
          <w:b/>
          <w:sz w:val="24"/>
        </w:rPr>
        <w:t xml:space="preserve"> </w:t>
      </w:r>
    </w:p>
    <w:p w14:paraId="77865BD6" w14:textId="77777777" w:rsidR="007A66C0" w:rsidRDefault="007A66C0" w:rsidP="00CE473F">
      <w:pPr>
        <w:rPr>
          <w:b/>
          <w:sz w:val="24"/>
        </w:rPr>
      </w:pPr>
    </w:p>
    <w:tbl>
      <w:tblPr>
        <w:tblW w:w="14885" w:type="dxa"/>
        <w:tblInd w:w="-436" w:type="dxa"/>
        <w:tblCellMar>
          <w:left w:w="0" w:type="dxa"/>
          <w:right w:w="0" w:type="dxa"/>
        </w:tblCellMar>
        <w:tblLook w:val="04A0" w:firstRow="1" w:lastRow="0" w:firstColumn="1" w:lastColumn="0" w:noHBand="0" w:noVBand="1"/>
      </w:tblPr>
      <w:tblGrid>
        <w:gridCol w:w="7230"/>
        <w:gridCol w:w="1560"/>
        <w:gridCol w:w="1417"/>
        <w:gridCol w:w="3074"/>
        <w:gridCol w:w="1604"/>
      </w:tblGrid>
      <w:tr w:rsidR="007A66C0" w:rsidRPr="007A66C0" w14:paraId="4BB146F4" w14:textId="77777777" w:rsidTr="00F70878">
        <w:tc>
          <w:tcPr>
            <w:tcW w:w="723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C1B18EB" w14:textId="52593087" w:rsidR="007A66C0" w:rsidRPr="007A66C0" w:rsidRDefault="0054688B" w:rsidP="007A66C0">
            <w:pPr>
              <w:rPr>
                <w:rFonts w:eastAsia="Calibri" w:cs="Arial"/>
                <w:sz w:val="24"/>
                <w:szCs w:val="24"/>
              </w:rPr>
            </w:pPr>
            <w:r>
              <w:rPr>
                <w:rFonts w:eastAsia="Calibri" w:cs="Arial"/>
                <w:b/>
                <w:bCs/>
                <w:color w:val="000000"/>
                <w:sz w:val="24"/>
                <w:szCs w:val="24"/>
                <w:lang w:eastAsia="en-GB"/>
              </w:rPr>
              <w:t>CRR 2019/20</w:t>
            </w:r>
            <w:r w:rsidR="007A66C0" w:rsidRPr="007A66C0">
              <w:rPr>
                <w:rFonts w:eastAsia="Calibri" w:cs="Arial"/>
                <w:b/>
                <w:bCs/>
                <w:color w:val="000000"/>
                <w:sz w:val="24"/>
                <w:szCs w:val="24"/>
                <w:lang w:eastAsia="en-GB"/>
              </w:rPr>
              <w:t xml:space="preserve"> Risk Description</w:t>
            </w:r>
          </w:p>
        </w:tc>
        <w:tc>
          <w:tcPr>
            <w:tcW w:w="156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697FC63" w14:textId="77777777" w:rsidR="007A66C0" w:rsidRPr="007A66C0" w:rsidRDefault="007A66C0" w:rsidP="007A66C0">
            <w:pPr>
              <w:rPr>
                <w:rFonts w:eastAsia="Calibri" w:cs="Arial"/>
                <w:b/>
                <w:bCs/>
                <w:sz w:val="24"/>
                <w:szCs w:val="24"/>
              </w:rPr>
            </w:pPr>
            <w:r w:rsidRPr="007A66C0">
              <w:rPr>
                <w:rFonts w:eastAsia="Calibri" w:cs="Arial"/>
                <w:b/>
                <w:bCs/>
                <w:sz w:val="24"/>
                <w:szCs w:val="24"/>
              </w:rPr>
              <w:t>Category</w:t>
            </w:r>
          </w:p>
        </w:tc>
        <w:tc>
          <w:tcPr>
            <w:tcW w:w="1417"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FBA361B" w14:textId="77777777" w:rsidR="007A66C0" w:rsidRPr="007A66C0" w:rsidRDefault="007A66C0" w:rsidP="007A66C0">
            <w:pPr>
              <w:rPr>
                <w:rFonts w:eastAsia="Calibri" w:cs="Arial"/>
                <w:b/>
                <w:bCs/>
                <w:sz w:val="24"/>
                <w:szCs w:val="24"/>
              </w:rPr>
            </w:pPr>
            <w:r w:rsidRPr="007A66C0">
              <w:rPr>
                <w:rFonts w:eastAsia="Calibri" w:cs="Arial"/>
                <w:b/>
                <w:bCs/>
                <w:sz w:val="24"/>
                <w:szCs w:val="24"/>
              </w:rPr>
              <w:t>Owner</w:t>
            </w:r>
          </w:p>
        </w:tc>
        <w:tc>
          <w:tcPr>
            <w:tcW w:w="3074"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5BAA957" w14:textId="77777777" w:rsidR="007A66C0" w:rsidRPr="007A66C0" w:rsidRDefault="007A66C0" w:rsidP="007A66C0">
            <w:pPr>
              <w:rPr>
                <w:rFonts w:eastAsia="Calibri" w:cs="Arial"/>
                <w:b/>
                <w:bCs/>
                <w:sz w:val="24"/>
                <w:szCs w:val="24"/>
              </w:rPr>
            </w:pPr>
            <w:r w:rsidRPr="007A66C0">
              <w:rPr>
                <w:rFonts w:eastAsia="Calibri" w:cs="Arial"/>
                <w:b/>
                <w:bCs/>
                <w:sz w:val="24"/>
                <w:szCs w:val="24"/>
              </w:rPr>
              <w:t>Response Coordinator</w:t>
            </w:r>
          </w:p>
        </w:tc>
        <w:tc>
          <w:tcPr>
            <w:tcW w:w="1604"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4FF2814" w14:textId="77777777" w:rsidR="007A66C0" w:rsidRPr="007A66C0" w:rsidRDefault="007A66C0" w:rsidP="007A66C0">
            <w:pPr>
              <w:rPr>
                <w:rFonts w:eastAsia="Calibri" w:cs="Arial"/>
                <w:b/>
                <w:bCs/>
                <w:sz w:val="24"/>
                <w:szCs w:val="24"/>
              </w:rPr>
            </w:pPr>
            <w:r w:rsidRPr="007A66C0">
              <w:rPr>
                <w:rFonts w:eastAsia="Calibri" w:cs="Arial"/>
                <w:b/>
                <w:bCs/>
                <w:sz w:val="24"/>
                <w:szCs w:val="24"/>
              </w:rPr>
              <w:t>Governance Committee</w:t>
            </w:r>
          </w:p>
        </w:tc>
      </w:tr>
      <w:tr w:rsidR="007A66C0" w:rsidRPr="007A66C0" w14:paraId="58989B54" w14:textId="77777777" w:rsidTr="00F70878">
        <w:trPr>
          <w:trHeight w:val="871"/>
        </w:trPr>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FBE79D" w14:textId="1C1BC873" w:rsidR="007A66C0" w:rsidRPr="0054688B" w:rsidRDefault="0054688B" w:rsidP="0054688B">
            <w:pPr>
              <w:widowControl w:val="0"/>
              <w:tabs>
                <w:tab w:val="left" w:pos="1843"/>
              </w:tabs>
              <w:autoSpaceDE w:val="0"/>
              <w:autoSpaceDN w:val="0"/>
              <w:adjustRightInd w:val="0"/>
              <w:jc w:val="both"/>
              <w:rPr>
                <w:color w:val="000000"/>
                <w:sz w:val="24"/>
                <w:szCs w:val="24"/>
                <w:lang w:eastAsia="en-GB"/>
              </w:rPr>
            </w:pPr>
            <w:r w:rsidRPr="0054688B">
              <w:rPr>
                <w:rFonts w:eastAsia="Calibri" w:cs="Arial"/>
                <w:color w:val="000000"/>
                <w:sz w:val="24"/>
                <w:szCs w:val="24"/>
                <w:lang w:eastAsia="en-GB"/>
              </w:rPr>
              <w:t>19</w:t>
            </w:r>
            <w:r w:rsidR="007A66C0" w:rsidRPr="0054688B">
              <w:rPr>
                <w:rFonts w:eastAsia="Calibri" w:cs="Arial"/>
                <w:color w:val="000000"/>
                <w:sz w:val="24"/>
                <w:szCs w:val="24"/>
                <w:lang w:eastAsia="en-GB"/>
              </w:rPr>
              <w:t xml:space="preserve">-1. </w:t>
            </w:r>
            <w:r w:rsidRPr="0054688B">
              <w:rPr>
                <w:rFonts w:eastAsia="Calibri"/>
                <w:color w:val="000000"/>
                <w:sz w:val="24"/>
                <w:szCs w:val="24"/>
                <w:lang w:eastAsia="en-GB"/>
              </w:rPr>
              <w:t>As a result of uncertainties in the funding arrangements for Public Health Scotland from 01/12/19, there is a risk that the commitments made in this Delivery Plan will not be fully achieved.</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5CF15E3B" w14:textId="77777777" w:rsidR="007A66C0" w:rsidRPr="007A66C0" w:rsidRDefault="007A66C0" w:rsidP="007A66C0">
            <w:pPr>
              <w:rPr>
                <w:rFonts w:eastAsia="Calibri" w:cs="Arial"/>
                <w:sz w:val="24"/>
                <w:szCs w:val="24"/>
              </w:rPr>
            </w:pPr>
            <w:r w:rsidRPr="007A66C0">
              <w:rPr>
                <w:rFonts w:eastAsia="Calibri" w:cs="Arial"/>
                <w:sz w:val="24"/>
                <w:szCs w:val="24"/>
              </w:rPr>
              <w:t>Finance and Governance</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2B8E25D" w14:textId="77777777" w:rsidR="007A66C0" w:rsidRPr="007A66C0" w:rsidRDefault="007A66C0" w:rsidP="007A66C0">
            <w:pPr>
              <w:rPr>
                <w:rFonts w:eastAsia="Calibri" w:cs="Arial"/>
                <w:sz w:val="24"/>
                <w:szCs w:val="24"/>
              </w:rPr>
            </w:pPr>
            <w:r w:rsidRPr="007A66C0">
              <w:rPr>
                <w:rFonts w:eastAsia="Calibri" w:cs="Arial"/>
                <w:sz w:val="24"/>
                <w:szCs w:val="24"/>
              </w:rPr>
              <w:t>Director of Strategy</w:t>
            </w:r>
          </w:p>
        </w:tc>
        <w:tc>
          <w:tcPr>
            <w:tcW w:w="3074" w:type="dxa"/>
            <w:tcBorders>
              <w:top w:val="nil"/>
              <w:left w:val="nil"/>
              <w:bottom w:val="single" w:sz="8" w:space="0" w:color="auto"/>
              <w:right w:val="single" w:sz="8" w:space="0" w:color="auto"/>
            </w:tcBorders>
            <w:tcMar>
              <w:top w:w="0" w:type="dxa"/>
              <w:left w:w="108" w:type="dxa"/>
              <w:bottom w:w="0" w:type="dxa"/>
              <w:right w:w="108" w:type="dxa"/>
            </w:tcMar>
          </w:tcPr>
          <w:p w14:paraId="5BD378A7" w14:textId="1D95734F" w:rsidR="007A66C0" w:rsidRPr="00BC65CA" w:rsidRDefault="007A66C0" w:rsidP="00BC65CA">
            <w:pPr>
              <w:autoSpaceDE w:val="0"/>
              <w:autoSpaceDN w:val="0"/>
              <w:adjustRightInd w:val="0"/>
              <w:rPr>
                <w:rFonts w:eastAsia="Calibri" w:cs="Arial"/>
                <w:bCs/>
                <w:color w:val="000000"/>
                <w:sz w:val="24"/>
                <w:szCs w:val="24"/>
                <w:lang w:eastAsia="en-GB"/>
              </w:rPr>
            </w:pPr>
            <w:r w:rsidRPr="007A66C0">
              <w:rPr>
                <w:rFonts w:eastAsia="Calibri" w:cs="Arial"/>
                <w:bCs/>
                <w:color w:val="000000"/>
                <w:sz w:val="24"/>
                <w:szCs w:val="24"/>
                <w:lang w:eastAsia="en-GB"/>
              </w:rPr>
              <w:t xml:space="preserve">Head of People and Improvement / Head of Finance and Procurement </w:t>
            </w:r>
          </w:p>
        </w:tc>
        <w:tc>
          <w:tcPr>
            <w:tcW w:w="1604" w:type="dxa"/>
            <w:tcBorders>
              <w:top w:val="nil"/>
              <w:left w:val="nil"/>
              <w:bottom w:val="single" w:sz="8" w:space="0" w:color="auto"/>
              <w:right w:val="single" w:sz="8" w:space="0" w:color="auto"/>
            </w:tcBorders>
            <w:tcMar>
              <w:top w:w="0" w:type="dxa"/>
              <w:left w:w="108" w:type="dxa"/>
              <w:bottom w:w="0" w:type="dxa"/>
              <w:right w:w="108" w:type="dxa"/>
            </w:tcMar>
            <w:hideMark/>
          </w:tcPr>
          <w:p w14:paraId="5AC87E0D" w14:textId="77777777" w:rsidR="007A66C0" w:rsidRPr="007A66C0" w:rsidRDefault="007A66C0" w:rsidP="007A66C0">
            <w:pPr>
              <w:rPr>
                <w:rFonts w:eastAsia="Calibri" w:cs="Arial"/>
                <w:sz w:val="24"/>
                <w:szCs w:val="24"/>
              </w:rPr>
            </w:pPr>
            <w:r w:rsidRPr="007A66C0">
              <w:rPr>
                <w:rFonts w:eastAsia="Calibri" w:cs="Arial"/>
                <w:sz w:val="24"/>
                <w:szCs w:val="24"/>
              </w:rPr>
              <w:t>Audit Committee</w:t>
            </w:r>
          </w:p>
        </w:tc>
      </w:tr>
      <w:tr w:rsidR="007A66C0" w:rsidRPr="007A66C0" w14:paraId="671D39D4" w14:textId="77777777" w:rsidTr="00F70878">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8BC0DA" w14:textId="31C5C043" w:rsidR="007A66C0" w:rsidRPr="0054688B" w:rsidRDefault="0054688B" w:rsidP="0054688B">
            <w:pPr>
              <w:widowControl w:val="0"/>
              <w:tabs>
                <w:tab w:val="left" w:pos="1843"/>
              </w:tabs>
              <w:autoSpaceDE w:val="0"/>
              <w:autoSpaceDN w:val="0"/>
              <w:adjustRightInd w:val="0"/>
              <w:jc w:val="both"/>
              <w:rPr>
                <w:color w:val="000000"/>
                <w:sz w:val="24"/>
                <w:szCs w:val="24"/>
                <w:lang w:eastAsia="en-GB"/>
              </w:rPr>
            </w:pPr>
            <w:r w:rsidRPr="0054688B">
              <w:rPr>
                <w:rFonts w:eastAsia="Calibri" w:cs="Arial"/>
                <w:color w:val="000000"/>
                <w:sz w:val="24"/>
                <w:szCs w:val="24"/>
                <w:lang w:eastAsia="en-GB"/>
              </w:rPr>
              <w:t>19</w:t>
            </w:r>
            <w:r w:rsidR="007A66C0" w:rsidRPr="0054688B">
              <w:rPr>
                <w:rFonts w:eastAsia="Calibri" w:cs="Arial"/>
                <w:color w:val="000000"/>
                <w:sz w:val="24"/>
                <w:szCs w:val="24"/>
                <w:lang w:eastAsia="en-GB"/>
              </w:rPr>
              <w:t xml:space="preserve">-2. </w:t>
            </w:r>
            <w:r w:rsidRPr="0054688B">
              <w:rPr>
                <w:rFonts w:eastAsia="Calibri"/>
                <w:color w:val="000000"/>
                <w:sz w:val="24"/>
                <w:szCs w:val="24"/>
                <w:lang w:eastAsia="en-GB"/>
              </w:rPr>
              <w:t>As a result of needing more of our resources than anticipated to manage the transition to Public Health Scotland, and particularly senior management resource, there is a risk either that we do not deliver all our commitments for 2019/20 or that errors are made in the quality control of our outputs</w:t>
            </w:r>
            <w:r>
              <w:rPr>
                <w:rFonts w:eastAsia="Calibri"/>
                <w:color w:val="000000"/>
                <w:sz w:val="24"/>
                <w:szCs w:val="24"/>
                <w:lang w:eastAsia="en-GB"/>
              </w:rPr>
              <w:t>.</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19725526" w14:textId="77777777" w:rsidR="007A66C0" w:rsidRPr="007A66C0" w:rsidRDefault="007A66C0" w:rsidP="007A66C0">
            <w:pPr>
              <w:rPr>
                <w:rFonts w:eastAsia="Calibri" w:cs="Arial"/>
                <w:sz w:val="24"/>
                <w:szCs w:val="24"/>
              </w:rPr>
            </w:pPr>
            <w:r w:rsidRPr="007A66C0">
              <w:rPr>
                <w:rFonts w:eastAsia="Calibri" w:cs="Arial"/>
                <w:sz w:val="24"/>
                <w:szCs w:val="24"/>
              </w:rPr>
              <w:t>Finance and Governance</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2394049" w14:textId="77777777" w:rsidR="007A66C0" w:rsidRPr="007A66C0" w:rsidRDefault="007A66C0" w:rsidP="007A66C0">
            <w:pPr>
              <w:rPr>
                <w:rFonts w:eastAsia="Calibri" w:cs="Arial"/>
                <w:sz w:val="24"/>
                <w:szCs w:val="24"/>
              </w:rPr>
            </w:pPr>
            <w:r w:rsidRPr="007A66C0">
              <w:rPr>
                <w:rFonts w:eastAsia="Calibri" w:cs="Arial"/>
                <w:sz w:val="24"/>
                <w:szCs w:val="24"/>
              </w:rPr>
              <w:t>Director of Strategy</w:t>
            </w:r>
          </w:p>
        </w:tc>
        <w:tc>
          <w:tcPr>
            <w:tcW w:w="3074" w:type="dxa"/>
            <w:tcBorders>
              <w:top w:val="nil"/>
              <w:left w:val="nil"/>
              <w:bottom w:val="single" w:sz="8" w:space="0" w:color="auto"/>
              <w:right w:val="single" w:sz="8" w:space="0" w:color="auto"/>
            </w:tcBorders>
            <w:tcMar>
              <w:top w:w="0" w:type="dxa"/>
              <w:left w:w="108" w:type="dxa"/>
              <w:bottom w:w="0" w:type="dxa"/>
              <w:right w:w="108" w:type="dxa"/>
            </w:tcMar>
          </w:tcPr>
          <w:p w14:paraId="7964142C" w14:textId="77777777" w:rsidR="007A66C0" w:rsidRPr="007A66C0" w:rsidRDefault="007A66C0" w:rsidP="007A66C0">
            <w:pPr>
              <w:autoSpaceDE w:val="0"/>
              <w:autoSpaceDN w:val="0"/>
              <w:adjustRightInd w:val="0"/>
              <w:rPr>
                <w:rFonts w:eastAsia="Calibri" w:cs="Arial"/>
                <w:bCs/>
                <w:color w:val="000000"/>
                <w:sz w:val="24"/>
                <w:szCs w:val="24"/>
                <w:lang w:eastAsia="en-GB"/>
              </w:rPr>
            </w:pPr>
            <w:r w:rsidRPr="007A66C0">
              <w:rPr>
                <w:rFonts w:eastAsia="Calibri" w:cs="Arial"/>
                <w:bCs/>
                <w:color w:val="000000"/>
                <w:sz w:val="24"/>
                <w:szCs w:val="24"/>
                <w:lang w:eastAsia="en-GB"/>
              </w:rPr>
              <w:t xml:space="preserve">Head of People and Improvement / Head of Finance and Procurement </w:t>
            </w:r>
          </w:p>
          <w:p w14:paraId="0F66CC28" w14:textId="77777777" w:rsidR="007A66C0" w:rsidRPr="007A66C0" w:rsidRDefault="007A66C0" w:rsidP="007A66C0">
            <w:pPr>
              <w:rPr>
                <w:rFonts w:eastAsia="Calibri" w:cs="Arial"/>
                <w:bCs/>
                <w:sz w:val="24"/>
                <w:szCs w:val="24"/>
              </w:rPr>
            </w:pPr>
          </w:p>
        </w:tc>
        <w:tc>
          <w:tcPr>
            <w:tcW w:w="1604" w:type="dxa"/>
            <w:tcBorders>
              <w:top w:val="nil"/>
              <w:left w:val="nil"/>
              <w:bottom w:val="single" w:sz="8" w:space="0" w:color="auto"/>
              <w:right w:val="single" w:sz="8" w:space="0" w:color="auto"/>
            </w:tcBorders>
            <w:tcMar>
              <w:top w:w="0" w:type="dxa"/>
              <w:left w:w="108" w:type="dxa"/>
              <w:bottom w:w="0" w:type="dxa"/>
              <w:right w:w="108" w:type="dxa"/>
            </w:tcMar>
            <w:hideMark/>
          </w:tcPr>
          <w:p w14:paraId="75B2CADB" w14:textId="77777777" w:rsidR="007A66C0" w:rsidRPr="007A66C0" w:rsidRDefault="007A66C0" w:rsidP="007A66C0">
            <w:pPr>
              <w:rPr>
                <w:rFonts w:eastAsia="Calibri" w:cs="Arial"/>
                <w:sz w:val="24"/>
                <w:szCs w:val="24"/>
              </w:rPr>
            </w:pPr>
            <w:r w:rsidRPr="007A66C0">
              <w:rPr>
                <w:rFonts w:eastAsia="Calibri" w:cs="Arial"/>
                <w:sz w:val="24"/>
                <w:szCs w:val="24"/>
              </w:rPr>
              <w:t>Audit Committee</w:t>
            </w:r>
          </w:p>
        </w:tc>
      </w:tr>
      <w:tr w:rsidR="007A66C0" w:rsidRPr="007A66C0" w14:paraId="3236C879" w14:textId="77777777" w:rsidTr="00F70878">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406709" w14:textId="2566B646" w:rsidR="007A66C0" w:rsidRPr="0054688B" w:rsidRDefault="0054688B" w:rsidP="0054688B">
            <w:pPr>
              <w:widowControl w:val="0"/>
              <w:tabs>
                <w:tab w:val="left" w:pos="1843"/>
              </w:tabs>
              <w:autoSpaceDE w:val="0"/>
              <w:autoSpaceDN w:val="0"/>
              <w:adjustRightInd w:val="0"/>
              <w:jc w:val="both"/>
              <w:rPr>
                <w:color w:val="000000"/>
                <w:sz w:val="24"/>
                <w:szCs w:val="24"/>
                <w:lang w:eastAsia="en-GB"/>
              </w:rPr>
            </w:pPr>
            <w:r w:rsidRPr="0054688B">
              <w:rPr>
                <w:rFonts w:eastAsia="Calibri" w:cs="Arial"/>
                <w:color w:val="000000"/>
                <w:sz w:val="24"/>
                <w:szCs w:val="24"/>
                <w:lang w:eastAsia="en-GB"/>
              </w:rPr>
              <w:t>19</w:t>
            </w:r>
            <w:r w:rsidR="007A66C0" w:rsidRPr="0054688B">
              <w:rPr>
                <w:rFonts w:eastAsia="Calibri" w:cs="Arial"/>
                <w:color w:val="000000"/>
                <w:sz w:val="24"/>
                <w:szCs w:val="24"/>
                <w:lang w:eastAsia="en-GB"/>
              </w:rPr>
              <w:t xml:space="preserve">-3. </w:t>
            </w:r>
            <w:r w:rsidRPr="0054688B">
              <w:rPr>
                <w:rFonts w:eastAsia="Calibri"/>
                <w:color w:val="000000"/>
                <w:sz w:val="24"/>
                <w:szCs w:val="24"/>
                <w:lang w:eastAsia="en-GB"/>
              </w:rPr>
              <w:t>As a result of issues in the transition of governance to Public Health Scotland or a lack of contingency planning for a delayed start date, there is a risk there are gaps in accountability, resulting in reputational damage.</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2CBDA920" w14:textId="77777777" w:rsidR="007A66C0" w:rsidRPr="007A66C0" w:rsidRDefault="007A66C0" w:rsidP="007A66C0">
            <w:pPr>
              <w:rPr>
                <w:rFonts w:eastAsia="Calibri" w:cs="Arial"/>
                <w:sz w:val="24"/>
                <w:szCs w:val="24"/>
              </w:rPr>
            </w:pPr>
            <w:r w:rsidRPr="007A66C0">
              <w:rPr>
                <w:rFonts w:eastAsia="Calibri" w:cs="Arial"/>
                <w:sz w:val="24"/>
                <w:szCs w:val="24"/>
              </w:rPr>
              <w:t>Finance and Governance</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30DF6D6" w14:textId="77777777" w:rsidR="007A66C0" w:rsidRPr="007A66C0" w:rsidRDefault="007A66C0" w:rsidP="007A66C0">
            <w:pPr>
              <w:rPr>
                <w:rFonts w:eastAsia="Calibri" w:cs="Arial"/>
                <w:bCs/>
                <w:sz w:val="24"/>
                <w:szCs w:val="24"/>
              </w:rPr>
            </w:pPr>
            <w:r w:rsidRPr="007A66C0">
              <w:rPr>
                <w:rFonts w:eastAsia="Calibri" w:cs="Arial"/>
                <w:bCs/>
                <w:sz w:val="24"/>
                <w:szCs w:val="24"/>
              </w:rPr>
              <w:t>CEO</w:t>
            </w:r>
          </w:p>
          <w:p w14:paraId="49C32AC9" w14:textId="77777777" w:rsidR="007A66C0" w:rsidRPr="007A66C0" w:rsidRDefault="007A66C0" w:rsidP="007A66C0">
            <w:pPr>
              <w:rPr>
                <w:rFonts w:eastAsia="Calibri" w:cs="Arial"/>
                <w:b/>
                <w:bCs/>
                <w:sz w:val="24"/>
                <w:szCs w:val="24"/>
              </w:rPr>
            </w:pPr>
          </w:p>
        </w:tc>
        <w:tc>
          <w:tcPr>
            <w:tcW w:w="3074" w:type="dxa"/>
            <w:tcBorders>
              <w:top w:val="nil"/>
              <w:left w:val="nil"/>
              <w:bottom w:val="single" w:sz="8" w:space="0" w:color="auto"/>
              <w:right w:val="single" w:sz="8" w:space="0" w:color="auto"/>
            </w:tcBorders>
            <w:tcMar>
              <w:top w:w="0" w:type="dxa"/>
              <w:left w:w="108" w:type="dxa"/>
              <w:bottom w:w="0" w:type="dxa"/>
              <w:right w:w="108" w:type="dxa"/>
            </w:tcMar>
            <w:hideMark/>
          </w:tcPr>
          <w:p w14:paraId="5F4D3FF4" w14:textId="77777777" w:rsidR="007A66C0" w:rsidRPr="007A66C0" w:rsidRDefault="007A66C0" w:rsidP="007A66C0">
            <w:pPr>
              <w:rPr>
                <w:rFonts w:eastAsia="Calibri" w:cs="Arial"/>
                <w:bCs/>
                <w:sz w:val="24"/>
                <w:szCs w:val="24"/>
              </w:rPr>
            </w:pPr>
            <w:r w:rsidRPr="007A66C0">
              <w:rPr>
                <w:rFonts w:eastAsia="Calibri" w:cs="Arial"/>
                <w:bCs/>
                <w:sz w:val="24"/>
                <w:szCs w:val="24"/>
              </w:rPr>
              <w:t>Organisational Lead for Executive and Governance</w:t>
            </w:r>
          </w:p>
        </w:tc>
        <w:tc>
          <w:tcPr>
            <w:tcW w:w="1604" w:type="dxa"/>
            <w:tcBorders>
              <w:top w:val="nil"/>
              <w:left w:val="nil"/>
              <w:bottom w:val="single" w:sz="8" w:space="0" w:color="auto"/>
              <w:right w:val="single" w:sz="8" w:space="0" w:color="auto"/>
            </w:tcBorders>
            <w:tcMar>
              <w:top w:w="0" w:type="dxa"/>
              <w:left w:w="108" w:type="dxa"/>
              <w:bottom w:w="0" w:type="dxa"/>
              <w:right w:w="108" w:type="dxa"/>
            </w:tcMar>
            <w:hideMark/>
          </w:tcPr>
          <w:p w14:paraId="319B69CE" w14:textId="77777777" w:rsidR="007A66C0" w:rsidRPr="007A66C0" w:rsidRDefault="007A66C0" w:rsidP="007A66C0">
            <w:pPr>
              <w:rPr>
                <w:rFonts w:eastAsia="Calibri" w:cs="Arial"/>
                <w:sz w:val="24"/>
                <w:szCs w:val="24"/>
              </w:rPr>
            </w:pPr>
            <w:r w:rsidRPr="007A66C0">
              <w:rPr>
                <w:rFonts w:eastAsia="Calibri" w:cs="Arial"/>
                <w:sz w:val="24"/>
                <w:szCs w:val="24"/>
              </w:rPr>
              <w:t>Audit Committee</w:t>
            </w:r>
          </w:p>
        </w:tc>
      </w:tr>
      <w:tr w:rsidR="007A66C0" w:rsidRPr="007A66C0" w14:paraId="73D5A340" w14:textId="77777777" w:rsidTr="00F70878">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B58C1E" w14:textId="080F5B0C" w:rsidR="007A66C0" w:rsidRPr="0054688B" w:rsidRDefault="0054688B" w:rsidP="0054688B">
            <w:pPr>
              <w:widowControl w:val="0"/>
              <w:tabs>
                <w:tab w:val="left" w:pos="1843"/>
              </w:tabs>
              <w:autoSpaceDE w:val="0"/>
              <w:autoSpaceDN w:val="0"/>
              <w:adjustRightInd w:val="0"/>
              <w:jc w:val="both"/>
              <w:rPr>
                <w:color w:val="000000"/>
                <w:sz w:val="24"/>
                <w:szCs w:val="24"/>
                <w:lang w:eastAsia="en-GB"/>
              </w:rPr>
            </w:pPr>
            <w:r w:rsidRPr="0054688B">
              <w:rPr>
                <w:rFonts w:eastAsia="Calibri" w:cs="Arial"/>
                <w:color w:val="000000"/>
                <w:sz w:val="24"/>
                <w:szCs w:val="24"/>
                <w:lang w:eastAsia="en-GB"/>
              </w:rPr>
              <w:t>19</w:t>
            </w:r>
            <w:r w:rsidR="007A66C0" w:rsidRPr="0054688B">
              <w:rPr>
                <w:rFonts w:eastAsia="Calibri" w:cs="Arial"/>
                <w:color w:val="000000"/>
                <w:sz w:val="24"/>
                <w:szCs w:val="24"/>
                <w:lang w:eastAsia="en-GB"/>
              </w:rPr>
              <w:t xml:space="preserve">-4. </w:t>
            </w:r>
            <w:r w:rsidRPr="0054688B">
              <w:rPr>
                <w:rFonts w:eastAsia="Calibri"/>
                <w:color w:val="000000"/>
                <w:sz w:val="24"/>
                <w:szCs w:val="24"/>
                <w:lang w:eastAsia="en-GB"/>
              </w:rPr>
              <w:t xml:space="preserve">As a result of the complex process of creating Public Health Scotland from different legacy organisations, there is a risk that the cultures and practices which Health Scotland have built up and believe to be important to the mission of fairer, healthier improvement are diluted or lost. </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21CD43A6" w14:textId="77777777" w:rsidR="007A66C0" w:rsidRPr="007A66C0" w:rsidRDefault="007A66C0" w:rsidP="007A66C0">
            <w:pPr>
              <w:rPr>
                <w:rFonts w:eastAsia="Calibri" w:cs="Arial"/>
                <w:color w:val="FF0000"/>
                <w:sz w:val="24"/>
                <w:szCs w:val="24"/>
              </w:rPr>
            </w:pPr>
            <w:r w:rsidRPr="007A66C0">
              <w:rPr>
                <w:rFonts w:eastAsia="Calibri" w:cs="Arial"/>
                <w:sz w:val="24"/>
                <w:szCs w:val="24"/>
              </w:rPr>
              <w:t>Workforce</w:t>
            </w:r>
          </w:p>
          <w:p w14:paraId="5AA90EBF" w14:textId="77777777" w:rsidR="007A66C0" w:rsidRPr="007A66C0" w:rsidRDefault="007A66C0" w:rsidP="007A66C0">
            <w:pPr>
              <w:rPr>
                <w:rFonts w:eastAsia="Calibri" w:cs="Arial"/>
                <w:sz w:val="24"/>
                <w:szCs w:val="24"/>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22A78E41" w14:textId="77777777" w:rsidR="007A66C0" w:rsidRPr="007A66C0" w:rsidRDefault="007A66C0" w:rsidP="007A66C0">
            <w:pPr>
              <w:rPr>
                <w:rFonts w:eastAsia="Calibri" w:cs="Arial"/>
                <w:bCs/>
                <w:sz w:val="24"/>
                <w:szCs w:val="24"/>
              </w:rPr>
            </w:pPr>
            <w:r w:rsidRPr="007A66C0">
              <w:rPr>
                <w:rFonts w:eastAsia="Calibri" w:cs="Arial"/>
                <w:bCs/>
                <w:sz w:val="24"/>
                <w:szCs w:val="24"/>
              </w:rPr>
              <w:t>Director of Strategy</w:t>
            </w:r>
          </w:p>
        </w:tc>
        <w:tc>
          <w:tcPr>
            <w:tcW w:w="3074" w:type="dxa"/>
            <w:tcBorders>
              <w:top w:val="nil"/>
              <w:left w:val="nil"/>
              <w:bottom w:val="single" w:sz="8" w:space="0" w:color="auto"/>
              <w:right w:val="single" w:sz="8" w:space="0" w:color="auto"/>
            </w:tcBorders>
            <w:tcMar>
              <w:top w:w="0" w:type="dxa"/>
              <w:left w:w="108" w:type="dxa"/>
              <w:bottom w:w="0" w:type="dxa"/>
              <w:right w:w="108" w:type="dxa"/>
            </w:tcMar>
            <w:hideMark/>
          </w:tcPr>
          <w:p w14:paraId="1109176D" w14:textId="77777777" w:rsidR="007A66C0" w:rsidRPr="007A66C0" w:rsidRDefault="007A66C0" w:rsidP="007A66C0">
            <w:pPr>
              <w:rPr>
                <w:rFonts w:eastAsia="Calibri" w:cs="Arial"/>
                <w:bCs/>
                <w:sz w:val="24"/>
                <w:szCs w:val="24"/>
              </w:rPr>
            </w:pPr>
            <w:r w:rsidRPr="007A66C0">
              <w:rPr>
                <w:rFonts w:eastAsia="Calibri" w:cs="Arial"/>
                <w:bCs/>
                <w:sz w:val="24"/>
                <w:szCs w:val="24"/>
              </w:rPr>
              <w:t xml:space="preserve">Head of People and Improvement </w:t>
            </w:r>
          </w:p>
        </w:tc>
        <w:tc>
          <w:tcPr>
            <w:tcW w:w="1604" w:type="dxa"/>
            <w:tcBorders>
              <w:top w:val="nil"/>
              <w:left w:val="nil"/>
              <w:bottom w:val="single" w:sz="8" w:space="0" w:color="auto"/>
              <w:right w:val="single" w:sz="8" w:space="0" w:color="auto"/>
            </w:tcBorders>
            <w:tcMar>
              <w:top w:w="0" w:type="dxa"/>
              <w:left w:w="108" w:type="dxa"/>
              <w:bottom w:w="0" w:type="dxa"/>
              <w:right w:w="108" w:type="dxa"/>
            </w:tcMar>
          </w:tcPr>
          <w:p w14:paraId="24D472D6" w14:textId="77777777" w:rsidR="007A66C0" w:rsidRPr="007A66C0" w:rsidRDefault="007A66C0" w:rsidP="007A66C0">
            <w:pPr>
              <w:rPr>
                <w:rFonts w:eastAsia="Calibri" w:cs="Arial"/>
                <w:bCs/>
                <w:sz w:val="24"/>
                <w:szCs w:val="24"/>
              </w:rPr>
            </w:pPr>
            <w:r w:rsidRPr="007A66C0">
              <w:rPr>
                <w:rFonts w:eastAsia="Calibri" w:cs="Arial"/>
                <w:bCs/>
                <w:sz w:val="24"/>
                <w:szCs w:val="24"/>
              </w:rPr>
              <w:t>Staff Governance Committee</w:t>
            </w:r>
          </w:p>
          <w:p w14:paraId="0546451A" w14:textId="77777777" w:rsidR="007A66C0" w:rsidRPr="007A66C0" w:rsidRDefault="007A66C0" w:rsidP="007A66C0">
            <w:pPr>
              <w:rPr>
                <w:rFonts w:eastAsia="Calibri" w:cs="Arial"/>
                <w:sz w:val="24"/>
                <w:szCs w:val="24"/>
              </w:rPr>
            </w:pPr>
          </w:p>
        </w:tc>
      </w:tr>
      <w:tr w:rsidR="007A66C0" w:rsidRPr="007A66C0" w14:paraId="2A208068" w14:textId="77777777" w:rsidTr="00F70878">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E4BFEA" w14:textId="73D90564" w:rsidR="007A66C0" w:rsidRPr="0054688B" w:rsidRDefault="0054688B" w:rsidP="0054688B">
            <w:pPr>
              <w:widowControl w:val="0"/>
              <w:tabs>
                <w:tab w:val="left" w:pos="1843"/>
              </w:tabs>
              <w:autoSpaceDE w:val="0"/>
              <w:autoSpaceDN w:val="0"/>
              <w:adjustRightInd w:val="0"/>
              <w:jc w:val="both"/>
              <w:rPr>
                <w:color w:val="000000"/>
                <w:sz w:val="24"/>
                <w:szCs w:val="24"/>
                <w:lang w:eastAsia="en-GB"/>
              </w:rPr>
            </w:pPr>
            <w:r w:rsidRPr="0054688B">
              <w:rPr>
                <w:rFonts w:eastAsia="Calibri" w:cs="Arial"/>
                <w:color w:val="000000"/>
                <w:sz w:val="24"/>
                <w:szCs w:val="24"/>
                <w:lang w:eastAsia="en-GB"/>
              </w:rPr>
              <w:t>19</w:t>
            </w:r>
            <w:r w:rsidR="007A66C0" w:rsidRPr="0054688B">
              <w:rPr>
                <w:rFonts w:eastAsia="Calibri" w:cs="Arial"/>
                <w:color w:val="000000"/>
                <w:sz w:val="24"/>
                <w:szCs w:val="24"/>
                <w:lang w:eastAsia="en-GB"/>
              </w:rPr>
              <w:t xml:space="preserve">-5. </w:t>
            </w:r>
            <w:r w:rsidRPr="0054688B">
              <w:rPr>
                <w:rFonts w:eastAsia="Calibri"/>
                <w:color w:val="000000"/>
                <w:sz w:val="24"/>
                <w:szCs w:val="24"/>
                <w:lang w:eastAsia="en-GB"/>
              </w:rPr>
              <w:t>As a result of the impacts or perceived impacts on staff of the changes planned through the creation of Public Health Scotland and associated arrangements, there is a risk of an impact on productivity and staff turnover, and so we do not deliver all our commitments for 2019/20.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13A362FB" w14:textId="77777777" w:rsidR="007A66C0" w:rsidRPr="007A66C0" w:rsidRDefault="007A66C0" w:rsidP="007A66C0">
            <w:pPr>
              <w:rPr>
                <w:rFonts w:eastAsia="Calibri" w:cs="Arial"/>
                <w:sz w:val="24"/>
                <w:szCs w:val="24"/>
              </w:rPr>
            </w:pPr>
            <w:r w:rsidRPr="007A66C0">
              <w:rPr>
                <w:rFonts w:eastAsia="Calibri" w:cs="Arial"/>
                <w:sz w:val="24"/>
                <w:szCs w:val="24"/>
              </w:rPr>
              <w:t>Workforce</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E18EB08" w14:textId="77777777" w:rsidR="007A66C0" w:rsidRPr="007A66C0" w:rsidRDefault="007A66C0" w:rsidP="007A66C0">
            <w:pPr>
              <w:autoSpaceDE w:val="0"/>
              <w:autoSpaceDN w:val="0"/>
              <w:adjustRightInd w:val="0"/>
              <w:rPr>
                <w:rFonts w:eastAsia="Calibri" w:cs="Arial"/>
                <w:color w:val="000000"/>
                <w:sz w:val="24"/>
                <w:szCs w:val="24"/>
                <w:lang w:eastAsia="en-GB"/>
              </w:rPr>
            </w:pPr>
            <w:r w:rsidRPr="007A66C0">
              <w:rPr>
                <w:rFonts w:eastAsia="Calibri" w:cs="Arial"/>
                <w:color w:val="000000"/>
                <w:sz w:val="24"/>
                <w:szCs w:val="24"/>
                <w:lang w:eastAsia="en-GB"/>
              </w:rPr>
              <w:t xml:space="preserve">Director of Strategy </w:t>
            </w:r>
          </w:p>
          <w:p w14:paraId="1CFD866C" w14:textId="77777777" w:rsidR="007A66C0" w:rsidRPr="007A66C0" w:rsidRDefault="007A66C0" w:rsidP="007A66C0">
            <w:pPr>
              <w:rPr>
                <w:rFonts w:eastAsia="Calibri" w:cs="Arial"/>
                <w:sz w:val="24"/>
                <w:szCs w:val="24"/>
              </w:rPr>
            </w:pPr>
          </w:p>
        </w:tc>
        <w:tc>
          <w:tcPr>
            <w:tcW w:w="3074" w:type="dxa"/>
            <w:tcBorders>
              <w:top w:val="nil"/>
              <w:left w:val="nil"/>
              <w:bottom w:val="single" w:sz="8" w:space="0" w:color="auto"/>
              <w:right w:val="single" w:sz="8" w:space="0" w:color="auto"/>
            </w:tcBorders>
            <w:tcMar>
              <w:top w:w="0" w:type="dxa"/>
              <w:left w:w="108" w:type="dxa"/>
              <w:bottom w:w="0" w:type="dxa"/>
              <w:right w:w="108" w:type="dxa"/>
            </w:tcMar>
            <w:hideMark/>
          </w:tcPr>
          <w:p w14:paraId="451AA218" w14:textId="77777777" w:rsidR="007A66C0" w:rsidRPr="007A66C0" w:rsidRDefault="007A66C0" w:rsidP="007A66C0">
            <w:pPr>
              <w:autoSpaceDE w:val="0"/>
              <w:autoSpaceDN w:val="0"/>
              <w:adjustRightInd w:val="0"/>
              <w:rPr>
                <w:rFonts w:eastAsia="Calibri" w:cs="Arial"/>
                <w:bCs/>
                <w:color w:val="000000"/>
                <w:sz w:val="24"/>
                <w:szCs w:val="24"/>
                <w:lang w:eastAsia="en-GB"/>
              </w:rPr>
            </w:pPr>
            <w:r w:rsidRPr="007A66C0">
              <w:rPr>
                <w:rFonts w:eastAsia="Calibri" w:cs="Arial"/>
                <w:bCs/>
                <w:color w:val="000000"/>
                <w:sz w:val="24"/>
                <w:szCs w:val="24"/>
                <w:lang w:eastAsia="en-GB"/>
              </w:rPr>
              <w:t xml:space="preserve">Head of People and Improvement </w:t>
            </w:r>
          </w:p>
        </w:tc>
        <w:tc>
          <w:tcPr>
            <w:tcW w:w="1604" w:type="dxa"/>
            <w:tcBorders>
              <w:top w:val="nil"/>
              <w:left w:val="nil"/>
              <w:bottom w:val="single" w:sz="8" w:space="0" w:color="auto"/>
              <w:right w:val="single" w:sz="8" w:space="0" w:color="auto"/>
            </w:tcBorders>
            <w:tcMar>
              <w:top w:w="0" w:type="dxa"/>
              <w:left w:w="108" w:type="dxa"/>
              <w:bottom w:w="0" w:type="dxa"/>
              <w:right w:w="108" w:type="dxa"/>
            </w:tcMar>
            <w:hideMark/>
          </w:tcPr>
          <w:p w14:paraId="29C949C9" w14:textId="77777777" w:rsidR="007A66C0" w:rsidRPr="007A66C0" w:rsidRDefault="007A66C0" w:rsidP="007A66C0">
            <w:pPr>
              <w:rPr>
                <w:rFonts w:eastAsia="Calibri" w:cs="Arial"/>
                <w:sz w:val="24"/>
                <w:szCs w:val="24"/>
              </w:rPr>
            </w:pPr>
            <w:r w:rsidRPr="007A66C0">
              <w:rPr>
                <w:rFonts w:eastAsia="Calibri" w:cs="Arial"/>
                <w:sz w:val="24"/>
                <w:szCs w:val="24"/>
              </w:rPr>
              <w:t>Staff Governance Committee</w:t>
            </w:r>
          </w:p>
        </w:tc>
      </w:tr>
      <w:tr w:rsidR="007A66C0" w:rsidRPr="007A66C0" w14:paraId="3B4F97FB" w14:textId="77777777" w:rsidTr="00F70878">
        <w:trPr>
          <w:trHeight w:val="702"/>
        </w:trPr>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EAEE32" w14:textId="11174EEA" w:rsidR="007A66C0" w:rsidRPr="0054688B" w:rsidRDefault="0054688B" w:rsidP="0054688B">
            <w:pPr>
              <w:widowControl w:val="0"/>
              <w:tabs>
                <w:tab w:val="left" w:pos="1843"/>
              </w:tabs>
              <w:autoSpaceDE w:val="0"/>
              <w:autoSpaceDN w:val="0"/>
              <w:adjustRightInd w:val="0"/>
              <w:jc w:val="both"/>
              <w:rPr>
                <w:color w:val="000000"/>
                <w:sz w:val="24"/>
                <w:szCs w:val="24"/>
                <w:lang w:eastAsia="en-GB"/>
              </w:rPr>
            </w:pPr>
            <w:r w:rsidRPr="0054688B">
              <w:rPr>
                <w:rFonts w:eastAsia="Calibri" w:cs="Arial"/>
                <w:color w:val="000000"/>
                <w:sz w:val="24"/>
                <w:szCs w:val="24"/>
                <w:lang w:eastAsia="en-GB"/>
              </w:rPr>
              <w:t>19</w:t>
            </w:r>
            <w:r w:rsidR="007A66C0" w:rsidRPr="0054688B">
              <w:rPr>
                <w:rFonts w:eastAsia="Calibri" w:cs="Arial"/>
                <w:color w:val="000000"/>
                <w:sz w:val="24"/>
                <w:szCs w:val="24"/>
                <w:lang w:eastAsia="en-GB"/>
              </w:rPr>
              <w:t xml:space="preserve">-6. </w:t>
            </w:r>
            <w:r w:rsidRPr="0054688B">
              <w:rPr>
                <w:color w:val="000000"/>
                <w:sz w:val="24"/>
                <w:szCs w:val="24"/>
                <w:lang w:eastAsia="en-GB"/>
              </w:rPr>
              <w:t>As a result of not retaining influence with and support from important stakeholders in the transition year, there is a risk that our key messages and core agenda are not carried over as powerfully into Public Health Scotland, reducing its credibility and impact in reducing health inequalities.</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3EC0DAE4" w14:textId="77777777" w:rsidR="007A66C0" w:rsidRPr="007A66C0" w:rsidRDefault="007A66C0" w:rsidP="007A66C0">
            <w:pPr>
              <w:rPr>
                <w:rFonts w:eastAsia="Calibri" w:cs="Arial"/>
                <w:color w:val="000000"/>
                <w:sz w:val="24"/>
                <w:szCs w:val="24"/>
                <w:lang w:eastAsia="en-GB"/>
              </w:rPr>
            </w:pPr>
            <w:r w:rsidRPr="007A66C0">
              <w:rPr>
                <w:rFonts w:eastAsia="Calibri" w:cs="Arial"/>
                <w:color w:val="000000"/>
                <w:sz w:val="24"/>
                <w:szCs w:val="24"/>
                <w:lang w:eastAsia="en-GB"/>
              </w:rPr>
              <w:t>Business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79A37CB" w14:textId="77777777" w:rsidR="007A66C0" w:rsidRPr="007A66C0" w:rsidRDefault="007A66C0" w:rsidP="007A66C0">
            <w:pPr>
              <w:rPr>
                <w:rFonts w:eastAsia="Calibri" w:cs="Arial"/>
                <w:color w:val="000000"/>
                <w:sz w:val="24"/>
                <w:szCs w:val="24"/>
                <w:lang w:eastAsia="en-GB"/>
              </w:rPr>
            </w:pPr>
            <w:r w:rsidRPr="007A66C0">
              <w:rPr>
                <w:rFonts w:eastAsia="Calibri" w:cs="Arial"/>
                <w:color w:val="000000"/>
                <w:sz w:val="24"/>
                <w:szCs w:val="24"/>
                <w:lang w:eastAsia="en-GB"/>
              </w:rPr>
              <w:t>Director of Strategy</w:t>
            </w:r>
          </w:p>
        </w:tc>
        <w:tc>
          <w:tcPr>
            <w:tcW w:w="3074" w:type="dxa"/>
            <w:tcBorders>
              <w:top w:val="nil"/>
              <w:left w:val="nil"/>
              <w:bottom w:val="single" w:sz="8" w:space="0" w:color="auto"/>
              <w:right w:val="single" w:sz="8" w:space="0" w:color="auto"/>
            </w:tcBorders>
            <w:tcMar>
              <w:top w:w="0" w:type="dxa"/>
              <w:left w:w="108" w:type="dxa"/>
              <w:bottom w:w="0" w:type="dxa"/>
              <w:right w:w="108" w:type="dxa"/>
            </w:tcMar>
            <w:hideMark/>
          </w:tcPr>
          <w:p w14:paraId="425B2DDA" w14:textId="13168F0A" w:rsidR="007A66C0" w:rsidRPr="007A66C0" w:rsidRDefault="005C719B" w:rsidP="007A66C0">
            <w:pPr>
              <w:rPr>
                <w:rFonts w:eastAsia="Calibri" w:cs="Arial"/>
                <w:color w:val="000000"/>
                <w:sz w:val="24"/>
                <w:szCs w:val="24"/>
                <w:lang w:eastAsia="en-GB"/>
              </w:rPr>
            </w:pPr>
            <w:r>
              <w:rPr>
                <w:rFonts w:eastAsia="Calibri" w:cs="Arial"/>
                <w:color w:val="000000"/>
                <w:sz w:val="24"/>
                <w:szCs w:val="24"/>
                <w:lang w:eastAsia="en-GB"/>
              </w:rPr>
              <w:t>Organisational Lead for Communications</w:t>
            </w:r>
          </w:p>
        </w:tc>
        <w:tc>
          <w:tcPr>
            <w:tcW w:w="1604" w:type="dxa"/>
            <w:tcBorders>
              <w:top w:val="nil"/>
              <w:left w:val="nil"/>
              <w:bottom w:val="single" w:sz="8" w:space="0" w:color="auto"/>
              <w:right w:val="single" w:sz="8" w:space="0" w:color="auto"/>
            </w:tcBorders>
            <w:tcMar>
              <w:top w:w="0" w:type="dxa"/>
              <w:left w:w="108" w:type="dxa"/>
              <w:bottom w:w="0" w:type="dxa"/>
              <w:right w:w="108" w:type="dxa"/>
            </w:tcMar>
            <w:hideMark/>
          </w:tcPr>
          <w:p w14:paraId="3EFAEC7F" w14:textId="455C7D92" w:rsidR="007A66C0" w:rsidRPr="007A66C0" w:rsidRDefault="00D07EB8" w:rsidP="007A66C0">
            <w:pPr>
              <w:rPr>
                <w:rFonts w:eastAsia="Calibri" w:cs="Arial"/>
                <w:color w:val="000000"/>
                <w:sz w:val="24"/>
                <w:szCs w:val="24"/>
                <w:lang w:eastAsia="en-GB"/>
              </w:rPr>
            </w:pPr>
            <w:r>
              <w:rPr>
                <w:rFonts w:eastAsia="Calibri" w:cs="Arial"/>
                <w:color w:val="000000"/>
                <w:sz w:val="24"/>
                <w:szCs w:val="24"/>
                <w:lang w:eastAsia="en-GB"/>
              </w:rPr>
              <w:t>Board</w:t>
            </w:r>
          </w:p>
        </w:tc>
      </w:tr>
    </w:tbl>
    <w:p w14:paraId="289099BB" w14:textId="77777777" w:rsidR="005078EB" w:rsidRPr="005078EB" w:rsidRDefault="005078EB" w:rsidP="006C6941">
      <w:pPr>
        <w:tabs>
          <w:tab w:val="left" w:pos="5685"/>
        </w:tabs>
        <w:rPr>
          <w:b/>
        </w:rPr>
      </w:pPr>
    </w:p>
    <w:sectPr w:rsidR="005078EB" w:rsidRPr="005078EB" w:rsidSect="006C6941">
      <w:headerReference w:type="default" r:id="rId18"/>
      <w:endnotePr>
        <w:numFmt w:val="decimal"/>
      </w:endnotePr>
      <w:pgSz w:w="16838" w:h="11906" w:orient="landscape"/>
      <w:pgMar w:top="1797" w:right="1077" w:bottom="851" w:left="1438" w:header="709" w:footer="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3032F" w14:textId="77777777" w:rsidR="00FC26AD" w:rsidRDefault="00FC26AD">
      <w:r>
        <w:separator/>
      </w:r>
    </w:p>
  </w:endnote>
  <w:endnote w:type="continuationSeparator" w:id="0">
    <w:p w14:paraId="34583F43" w14:textId="77777777" w:rsidR="00FC26AD" w:rsidRDefault="00FC26AD">
      <w:r>
        <w:continuationSeparator/>
      </w:r>
    </w:p>
  </w:endnote>
  <w:endnote w:type="continuationNotice" w:id="1">
    <w:p w14:paraId="14D311E2" w14:textId="77777777" w:rsidR="00FC26AD" w:rsidRDefault="00FC2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47021" w14:textId="77777777" w:rsidR="009F7B86" w:rsidRDefault="009F7B86" w:rsidP="00F850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7E9169" w14:textId="77777777" w:rsidR="009F7B86" w:rsidRDefault="009F7B86" w:rsidP="00AF7A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08" w:type="dxa"/>
      <w:tblLook w:val="01E0" w:firstRow="1" w:lastRow="1" w:firstColumn="1" w:lastColumn="1" w:noHBand="0" w:noVBand="0"/>
    </w:tblPr>
    <w:tblGrid>
      <w:gridCol w:w="2597"/>
      <w:gridCol w:w="2873"/>
      <w:gridCol w:w="2718"/>
    </w:tblGrid>
    <w:tr w:rsidR="009F7B86" w14:paraId="3F2864B2" w14:textId="77777777" w:rsidTr="00AF7ADD">
      <w:tc>
        <w:tcPr>
          <w:tcW w:w="2880" w:type="dxa"/>
        </w:tcPr>
        <w:p w14:paraId="1AF54AB6" w14:textId="77777777" w:rsidR="009F7B86" w:rsidRDefault="009F7B86" w:rsidP="00AF7ADD">
          <w:pPr>
            <w:pStyle w:val="Footer"/>
            <w:ind w:right="360"/>
            <w:rPr>
              <w:rFonts w:cs="Arial"/>
              <w:sz w:val="18"/>
              <w:szCs w:val="18"/>
            </w:rPr>
          </w:pPr>
        </w:p>
      </w:tc>
      <w:tc>
        <w:tcPr>
          <w:tcW w:w="3139" w:type="dxa"/>
        </w:tcPr>
        <w:p w14:paraId="4F3FEB07" w14:textId="77777777" w:rsidR="009F7B86" w:rsidRPr="00AF7ADD" w:rsidRDefault="009F7B86" w:rsidP="00F85075">
          <w:pPr>
            <w:pStyle w:val="Footer"/>
            <w:jc w:val="center"/>
            <w:rPr>
              <w:rFonts w:cs="Arial"/>
              <w:sz w:val="18"/>
              <w:szCs w:val="18"/>
            </w:rPr>
          </w:pPr>
          <w:r w:rsidRPr="00AF7ADD">
            <w:rPr>
              <w:rFonts w:cs="Arial"/>
              <w:sz w:val="18"/>
              <w:szCs w:val="18"/>
            </w:rPr>
            <w:t xml:space="preserve">Page </w:t>
          </w:r>
          <w:r w:rsidRPr="00AF7ADD">
            <w:rPr>
              <w:rStyle w:val="PageNumber"/>
              <w:sz w:val="18"/>
              <w:szCs w:val="18"/>
            </w:rPr>
            <w:fldChar w:fldCharType="begin"/>
          </w:r>
          <w:r w:rsidRPr="00AF7ADD">
            <w:rPr>
              <w:rStyle w:val="PageNumber"/>
              <w:sz w:val="18"/>
              <w:szCs w:val="18"/>
            </w:rPr>
            <w:instrText xml:space="preserve"> PAGE </w:instrText>
          </w:r>
          <w:r w:rsidRPr="00AF7ADD">
            <w:rPr>
              <w:rStyle w:val="PageNumber"/>
              <w:sz w:val="18"/>
              <w:szCs w:val="18"/>
            </w:rPr>
            <w:fldChar w:fldCharType="separate"/>
          </w:r>
          <w:r w:rsidR="00C01FCB">
            <w:rPr>
              <w:rStyle w:val="PageNumber"/>
              <w:noProof/>
              <w:sz w:val="18"/>
              <w:szCs w:val="18"/>
            </w:rPr>
            <w:t>9</w:t>
          </w:r>
          <w:r w:rsidRPr="00AF7ADD">
            <w:rPr>
              <w:rStyle w:val="PageNumber"/>
              <w:sz w:val="18"/>
              <w:szCs w:val="18"/>
            </w:rPr>
            <w:fldChar w:fldCharType="end"/>
          </w:r>
          <w:r w:rsidRPr="00AF7ADD">
            <w:rPr>
              <w:rFonts w:cs="Arial"/>
              <w:sz w:val="18"/>
              <w:szCs w:val="18"/>
            </w:rPr>
            <w:t xml:space="preserve"> of </w:t>
          </w:r>
          <w:r w:rsidRPr="00AF7ADD">
            <w:rPr>
              <w:rFonts w:cs="Arial"/>
              <w:sz w:val="18"/>
              <w:szCs w:val="18"/>
            </w:rPr>
            <w:fldChar w:fldCharType="begin"/>
          </w:r>
          <w:r w:rsidRPr="00AF7ADD">
            <w:rPr>
              <w:rFonts w:cs="Arial"/>
              <w:sz w:val="18"/>
              <w:szCs w:val="18"/>
            </w:rPr>
            <w:instrText xml:space="preserve"> NUMPAGES </w:instrText>
          </w:r>
          <w:r w:rsidRPr="00AF7ADD">
            <w:rPr>
              <w:rFonts w:cs="Arial"/>
              <w:sz w:val="18"/>
              <w:szCs w:val="18"/>
            </w:rPr>
            <w:fldChar w:fldCharType="separate"/>
          </w:r>
          <w:r w:rsidR="00C01FCB">
            <w:rPr>
              <w:rFonts w:cs="Arial"/>
              <w:noProof/>
              <w:sz w:val="18"/>
              <w:szCs w:val="18"/>
            </w:rPr>
            <w:t>9</w:t>
          </w:r>
          <w:r w:rsidRPr="00AF7ADD">
            <w:rPr>
              <w:rFonts w:cs="Arial"/>
              <w:sz w:val="18"/>
              <w:szCs w:val="18"/>
            </w:rPr>
            <w:fldChar w:fldCharType="end"/>
          </w:r>
        </w:p>
      </w:tc>
      <w:tc>
        <w:tcPr>
          <w:tcW w:w="2921" w:type="dxa"/>
        </w:tcPr>
        <w:p w14:paraId="62284D3F" w14:textId="59FE536A" w:rsidR="009F7B86" w:rsidRDefault="0020598D" w:rsidP="00F85075">
          <w:pPr>
            <w:pStyle w:val="Footer"/>
            <w:rPr>
              <w:rFonts w:cs="Arial"/>
              <w:sz w:val="18"/>
              <w:szCs w:val="18"/>
            </w:rPr>
          </w:pPr>
          <w:r>
            <w:rPr>
              <w:rFonts w:cs="Arial"/>
              <w:sz w:val="18"/>
              <w:szCs w:val="18"/>
            </w:rPr>
            <w:t>1106</w:t>
          </w:r>
          <w:r w:rsidR="009F7B86">
            <w:rPr>
              <w:rFonts w:cs="Arial"/>
              <w:sz w:val="18"/>
              <w:szCs w:val="18"/>
            </w:rPr>
            <w:t>201</w:t>
          </w:r>
          <w:r w:rsidR="00970115">
            <w:rPr>
              <w:rFonts w:cs="Arial"/>
              <w:sz w:val="18"/>
              <w:szCs w:val="18"/>
            </w:rPr>
            <w:t>9</w:t>
          </w:r>
        </w:p>
      </w:tc>
    </w:tr>
    <w:tr w:rsidR="009F7B86" w14:paraId="3C57B773" w14:textId="77777777" w:rsidTr="00AF7ADD">
      <w:tc>
        <w:tcPr>
          <w:tcW w:w="6019" w:type="dxa"/>
          <w:gridSpan w:val="2"/>
        </w:tcPr>
        <w:p w14:paraId="0BABCF58" w14:textId="0A016451" w:rsidR="009F7B86" w:rsidRDefault="00D56909" w:rsidP="00970115">
          <w:pPr>
            <w:pStyle w:val="Footer"/>
            <w:rPr>
              <w:rFonts w:cs="Arial"/>
              <w:sz w:val="18"/>
              <w:szCs w:val="18"/>
            </w:rPr>
          </w:pPr>
          <w:r>
            <w:rPr>
              <w:rFonts w:cs="Arial"/>
              <w:sz w:val="18"/>
              <w:szCs w:val="18"/>
            </w:rPr>
            <w:t>Board</w:t>
          </w:r>
          <w:r w:rsidR="009F7B86">
            <w:rPr>
              <w:rFonts w:cs="Arial"/>
              <w:sz w:val="18"/>
              <w:szCs w:val="18"/>
            </w:rPr>
            <w:t xml:space="preserve"> </w:t>
          </w:r>
          <w:r w:rsidR="007E1363">
            <w:rPr>
              <w:rFonts w:cs="Arial"/>
              <w:sz w:val="18"/>
              <w:szCs w:val="18"/>
            </w:rPr>
            <w:t xml:space="preserve">Annual </w:t>
          </w:r>
          <w:r w:rsidR="009F7B86">
            <w:rPr>
              <w:rFonts w:cs="Arial"/>
              <w:sz w:val="18"/>
              <w:szCs w:val="18"/>
            </w:rPr>
            <w:t>Risk Report</w:t>
          </w:r>
        </w:p>
      </w:tc>
      <w:tc>
        <w:tcPr>
          <w:tcW w:w="2921" w:type="dxa"/>
        </w:tcPr>
        <w:p w14:paraId="593E0BCE" w14:textId="269C6C95" w:rsidR="009F7B86" w:rsidRDefault="009F7B86" w:rsidP="00344187">
          <w:pPr>
            <w:pStyle w:val="Footer"/>
            <w:rPr>
              <w:rFonts w:cs="Arial"/>
              <w:sz w:val="18"/>
              <w:szCs w:val="18"/>
            </w:rPr>
          </w:pPr>
          <w:r>
            <w:rPr>
              <w:rFonts w:cs="Arial"/>
              <w:sz w:val="18"/>
              <w:szCs w:val="18"/>
            </w:rPr>
            <w:t xml:space="preserve">Status: </w:t>
          </w:r>
          <w:r w:rsidR="00344187">
            <w:rPr>
              <w:rFonts w:cs="Arial"/>
              <w:sz w:val="18"/>
              <w:szCs w:val="18"/>
            </w:rPr>
            <w:t>final</w:t>
          </w:r>
        </w:p>
      </w:tc>
    </w:tr>
  </w:tbl>
  <w:p w14:paraId="0C2599E9" w14:textId="77777777" w:rsidR="009F7B86" w:rsidRPr="00074867" w:rsidRDefault="009F7B86" w:rsidP="00557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0E142" w14:textId="77777777" w:rsidR="00FC26AD" w:rsidRDefault="00FC26AD">
      <w:r>
        <w:separator/>
      </w:r>
    </w:p>
  </w:footnote>
  <w:footnote w:type="continuationSeparator" w:id="0">
    <w:p w14:paraId="64584C6B" w14:textId="77777777" w:rsidR="00FC26AD" w:rsidRDefault="00FC26AD">
      <w:r>
        <w:continuationSeparator/>
      </w:r>
    </w:p>
  </w:footnote>
  <w:footnote w:type="continuationNotice" w:id="1">
    <w:p w14:paraId="6E2E606E" w14:textId="77777777" w:rsidR="00FC26AD" w:rsidRDefault="00FC26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08C8D" w14:textId="4D9499AA" w:rsidR="009F7B86" w:rsidRPr="009B1187" w:rsidRDefault="009B1187" w:rsidP="004008E1">
    <w:pPr>
      <w:jc w:val="right"/>
      <w:rPr>
        <w:rFonts w:cs="Arial"/>
        <w:sz w:val="24"/>
        <w:szCs w:val="24"/>
      </w:rPr>
    </w:pPr>
    <w:r w:rsidRPr="009B1187">
      <w:rPr>
        <w:rFonts w:cs="Arial"/>
        <w:sz w:val="24"/>
        <w:szCs w:val="24"/>
      </w:rPr>
      <w:t xml:space="preserve">HS </w:t>
    </w:r>
    <w:r w:rsidR="00D56909">
      <w:rPr>
        <w:rFonts w:cs="Arial"/>
        <w:sz w:val="24"/>
        <w:szCs w:val="24"/>
      </w:rPr>
      <w:t xml:space="preserve">Paper </w:t>
    </w:r>
    <w:r w:rsidR="00C01FCB">
      <w:rPr>
        <w:rFonts w:cs="Arial"/>
        <w:sz w:val="24"/>
        <w:szCs w:val="24"/>
      </w:rPr>
      <w:t>30</w:t>
    </w:r>
    <w:r>
      <w:rPr>
        <w:rFonts w:cs="Arial"/>
        <w:sz w:val="24"/>
        <w:szCs w:val="24"/>
      </w:rPr>
      <w:t>/19</w:t>
    </w:r>
  </w:p>
  <w:p w14:paraId="4C1CE273" w14:textId="77777777" w:rsidR="009F7B86" w:rsidRPr="0085363D" w:rsidRDefault="009F7B86" w:rsidP="004008E1">
    <w:pPr>
      <w:jc w:val="right"/>
      <w:rPr>
        <w:rFonts w:cs="Arial"/>
        <w:sz w:val="24"/>
        <w:szCs w:val="24"/>
      </w:rPr>
    </w:pPr>
  </w:p>
  <w:p w14:paraId="0B283ED5" w14:textId="77777777" w:rsidR="009F7B86" w:rsidRPr="0085363D" w:rsidRDefault="009F7B86" w:rsidP="004008E1">
    <w:pPr>
      <w:pStyle w:val="Header"/>
      <w:jc w:val="right"/>
      <w:rPr>
        <w:rFonts w:cs="Arial"/>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6632C" w14:textId="77777777" w:rsidR="005078EB" w:rsidRPr="001A0B9D" w:rsidRDefault="005078EB" w:rsidP="001A0B9D">
    <w:pPr>
      <w:pStyle w:val="Header"/>
      <w:jc w:val="right"/>
      <w:rPr>
        <w:b/>
      </w:rPr>
    </w:pPr>
    <w:r w:rsidRPr="001A0B9D">
      <w:rPr>
        <w:b/>
      </w:rPr>
      <w:t xml:space="preserve">Annex </w:t>
    </w:r>
    <w:r>
      <w:rPr>
        <w:b/>
      </w:rPr>
      <w:t>B</w:t>
    </w:r>
  </w:p>
  <w:p w14:paraId="55174EE6" w14:textId="77777777" w:rsidR="005078EB" w:rsidRPr="001A0B9D" w:rsidRDefault="005078EB" w:rsidP="001A0B9D">
    <w:pPr>
      <w:pStyle w:val="Header"/>
      <w:jc w:val="right"/>
      <w:rPr>
        <w:b/>
      </w:rPr>
    </w:pPr>
    <w:r>
      <w:rPr>
        <w:b/>
      </w:rPr>
      <w:t>Risk Management Protocol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D0B6A"/>
    <w:multiLevelType w:val="hybridMultilevel"/>
    <w:tmpl w:val="8F38FDA4"/>
    <w:styleLink w:val="StyleBulleted1"/>
    <w:lvl w:ilvl="0" w:tplc="75CEFC94">
      <w:start w:val="1"/>
      <w:numFmt w:val="decimal"/>
      <w:pStyle w:val="TableNumberedList"/>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792243"/>
    <w:multiLevelType w:val="hybridMultilevel"/>
    <w:tmpl w:val="2DAEF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1641FB"/>
    <w:multiLevelType w:val="multilevel"/>
    <w:tmpl w:val="100E43A8"/>
    <w:lvl w:ilvl="0">
      <w:start w:val="1"/>
      <w:numFmt w:val="decimal"/>
      <w:pStyle w:val="CMTNumbered2"/>
      <w:lvlText w:val="%1."/>
      <w:lvlJc w:val="left"/>
      <w:pPr>
        <w:tabs>
          <w:tab w:val="num" w:pos="567"/>
        </w:tabs>
        <w:ind w:left="567" w:hanging="567"/>
      </w:pPr>
      <w:rPr>
        <w:rFonts w:hint="default"/>
        <w:color w:val="auto"/>
      </w:rPr>
    </w:lvl>
    <w:lvl w:ilvl="1">
      <w:start w:val="1"/>
      <w:numFmt w:val="lowerLetter"/>
      <w:lvlText w:val="%2)"/>
      <w:lvlJc w:val="left"/>
      <w:pPr>
        <w:tabs>
          <w:tab w:val="num" w:pos="927"/>
        </w:tabs>
        <w:ind w:left="927"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8173F2B"/>
    <w:multiLevelType w:val="multilevel"/>
    <w:tmpl w:val="CE24C3F8"/>
    <w:styleLink w:val="StyleBulleted"/>
    <w:lvl w:ilvl="0">
      <w:start w:val="1"/>
      <w:numFmt w:val="bullet"/>
      <w:lvlText w:val=""/>
      <w:lvlJc w:val="left"/>
      <w:pPr>
        <w:tabs>
          <w:tab w:val="num" w:pos="720"/>
        </w:tabs>
        <w:ind w:left="720" w:hanging="360"/>
      </w:pPr>
      <w:rPr>
        <w:rFonts w:ascii="Symbol" w:hAnsi="Symbo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DAD4F12"/>
    <w:multiLevelType w:val="hybridMultilevel"/>
    <w:tmpl w:val="1F74E8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E383BCD"/>
    <w:multiLevelType w:val="hybridMultilevel"/>
    <w:tmpl w:val="C9264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F9745C5"/>
    <w:multiLevelType w:val="hybridMultilevel"/>
    <w:tmpl w:val="727EB4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56E130A6"/>
    <w:multiLevelType w:val="hybridMultilevel"/>
    <w:tmpl w:val="AD0662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8FB4F0F"/>
    <w:multiLevelType w:val="multilevel"/>
    <w:tmpl w:val="CE24C3F8"/>
    <w:numStyleLink w:val="StyleBulleted"/>
  </w:abstractNum>
  <w:abstractNum w:abstractNumId="9" w15:restartNumberingAfterBreak="0">
    <w:nsid w:val="59BB155C"/>
    <w:multiLevelType w:val="hybridMultilevel"/>
    <w:tmpl w:val="A7D62D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4AB42EE"/>
    <w:multiLevelType w:val="hybridMultilevel"/>
    <w:tmpl w:val="30404C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AA62367"/>
    <w:multiLevelType w:val="hybridMultilevel"/>
    <w:tmpl w:val="71D222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7B2C09D9"/>
    <w:multiLevelType w:val="hybridMultilevel"/>
    <w:tmpl w:val="5AC25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D156C48"/>
    <w:multiLevelType w:val="hybridMultilevel"/>
    <w:tmpl w:val="A308F7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8"/>
  </w:num>
  <w:num w:numId="6">
    <w:abstractNumId w:val="13"/>
  </w:num>
  <w:num w:numId="7">
    <w:abstractNumId w:val="10"/>
  </w:num>
  <w:num w:numId="8">
    <w:abstractNumId w:val="7"/>
  </w:num>
  <w:num w:numId="9">
    <w:abstractNumId w:val="9"/>
  </w:num>
  <w:num w:numId="10">
    <w:abstractNumId w:val="4"/>
  </w:num>
  <w:num w:numId="11">
    <w:abstractNumId w:val="12"/>
  </w:num>
  <w:num w:numId="12">
    <w:abstractNumId w:val="11"/>
  </w:num>
  <w:num w:numId="13">
    <w:abstractNumId w:val="6"/>
  </w:num>
  <w:num w:numId="14">
    <w:abstractNumId w:val="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BA"/>
    <w:rsid w:val="00005A96"/>
    <w:rsid w:val="000061B6"/>
    <w:rsid w:val="00017227"/>
    <w:rsid w:val="0003108F"/>
    <w:rsid w:val="00037A65"/>
    <w:rsid w:val="0004294E"/>
    <w:rsid w:val="00045B9D"/>
    <w:rsid w:val="000463AA"/>
    <w:rsid w:val="00046497"/>
    <w:rsid w:val="00051800"/>
    <w:rsid w:val="0006013F"/>
    <w:rsid w:val="000649BB"/>
    <w:rsid w:val="00075052"/>
    <w:rsid w:val="00075C9F"/>
    <w:rsid w:val="0008489F"/>
    <w:rsid w:val="0008668A"/>
    <w:rsid w:val="000926FC"/>
    <w:rsid w:val="00094C6D"/>
    <w:rsid w:val="000954D4"/>
    <w:rsid w:val="000A587B"/>
    <w:rsid w:val="000C2D75"/>
    <w:rsid w:val="000C359E"/>
    <w:rsid w:val="000D38E5"/>
    <w:rsid w:val="000D4014"/>
    <w:rsid w:val="000D700B"/>
    <w:rsid w:val="000E0D73"/>
    <w:rsid w:val="000E686A"/>
    <w:rsid w:val="000F0774"/>
    <w:rsid w:val="000F3D36"/>
    <w:rsid w:val="000F4F77"/>
    <w:rsid w:val="001066C4"/>
    <w:rsid w:val="001125AF"/>
    <w:rsid w:val="00117BD1"/>
    <w:rsid w:val="00120910"/>
    <w:rsid w:val="001230A6"/>
    <w:rsid w:val="00123B77"/>
    <w:rsid w:val="00136B9D"/>
    <w:rsid w:val="00142DD0"/>
    <w:rsid w:val="001626CC"/>
    <w:rsid w:val="00164037"/>
    <w:rsid w:val="00171383"/>
    <w:rsid w:val="00171CAD"/>
    <w:rsid w:val="001A2B0C"/>
    <w:rsid w:val="001A5871"/>
    <w:rsid w:val="001A5AB4"/>
    <w:rsid w:val="001B281A"/>
    <w:rsid w:val="001B32FC"/>
    <w:rsid w:val="001C765B"/>
    <w:rsid w:val="001C77CB"/>
    <w:rsid w:val="001C7811"/>
    <w:rsid w:val="001D363C"/>
    <w:rsid w:val="001D590E"/>
    <w:rsid w:val="001D5B2A"/>
    <w:rsid w:val="001E3EE1"/>
    <w:rsid w:val="001E5A3B"/>
    <w:rsid w:val="001E5C50"/>
    <w:rsid w:val="0020598D"/>
    <w:rsid w:val="002126BD"/>
    <w:rsid w:val="00224A81"/>
    <w:rsid w:val="00237355"/>
    <w:rsid w:val="00240556"/>
    <w:rsid w:val="00253FF2"/>
    <w:rsid w:val="00256FB9"/>
    <w:rsid w:val="002757DE"/>
    <w:rsid w:val="002811B0"/>
    <w:rsid w:val="0028653B"/>
    <w:rsid w:val="00292C31"/>
    <w:rsid w:val="00293734"/>
    <w:rsid w:val="002969D6"/>
    <w:rsid w:val="002A0995"/>
    <w:rsid w:val="002A10EA"/>
    <w:rsid w:val="002A2D01"/>
    <w:rsid w:val="002B143C"/>
    <w:rsid w:val="002B4374"/>
    <w:rsid w:val="002B4D59"/>
    <w:rsid w:val="002C09DA"/>
    <w:rsid w:val="002C3293"/>
    <w:rsid w:val="002C6706"/>
    <w:rsid w:val="002D3145"/>
    <w:rsid w:val="002D4D64"/>
    <w:rsid w:val="002F784F"/>
    <w:rsid w:val="00322070"/>
    <w:rsid w:val="00322F5A"/>
    <w:rsid w:val="00324DD5"/>
    <w:rsid w:val="00327A37"/>
    <w:rsid w:val="00333314"/>
    <w:rsid w:val="00344187"/>
    <w:rsid w:val="00355798"/>
    <w:rsid w:val="00360470"/>
    <w:rsid w:val="00363B80"/>
    <w:rsid w:val="00367B45"/>
    <w:rsid w:val="003851AE"/>
    <w:rsid w:val="0039168F"/>
    <w:rsid w:val="003921F7"/>
    <w:rsid w:val="0039570F"/>
    <w:rsid w:val="003960D8"/>
    <w:rsid w:val="003B13C0"/>
    <w:rsid w:val="003B3524"/>
    <w:rsid w:val="003B48BF"/>
    <w:rsid w:val="003C3351"/>
    <w:rsid w:val="003C43A6"/>
    <w:rsid w:val="003D1088"/>
    <w:rsid w:val="003D1BEE"/>
    <w:rsid w:val="003D6761"/>
    <w:rsid w:val="003D6E38"/>
    <w:rsid w:val="003E41EF"/>
    <w:rsid w:val="003E5E98"/>
    <w:rsid w:val="003F44B8"/>
    <w:rsid w:val="004008E1"/>
    <w:rsid w:val="00410B59"/>
    <w:rsid w:val="00421168"/>
    <w:rsid w:val="004374B2"/>
    <w:rsid w:val="00437C7F"/>
    <w:rsid w:val="0044716F"/>
    <w:rsid w:val="00460A07"/>
    <w:rsid w:val="00461E3F"/>
    <w:rsid w:val="0047249E"/>
    <w:rsid w:val="00473828"/>
    <w:rsid w:val="00484ED1"/>
    <w:rsid w:val="004A31C2"/>
    <w:rsid w:val="004A3F6B"/>
    <w:rsid w:val="004C35BD"/>
    <w:rsid w:val="004C37F0"/>
    <w:rsid w:val="004C69D4"/>
    <w:rsid w:val="004C6ECE"/>
    <w:rsid w:val="004D1265"/>
    <w:rsid w:val="004D5BF3"/>
    <w:rsid w:val="004E3177"/>
    <w:rsid w:val="004E68F0"/>
    <w:rsid w:val="004F75AB"/>
    <w:rsid w:val="004F7E8E"/>
    <w:rsid w:val="005048C2"/>
    <w:rsid w:val="00505F7B"/>
    <w:rsid w:val="00507848"/>
    <w:rsid w:val="005078EB"/>
    <w:rsid w:val="005278BF"/>
    <w:rsid w:val="0053679D"/>
    <w:rsid w:val="00542AF2"/>
    <w:rsid w:val="005434C5"/>
    <w:rsid w:val="0054367F"/>
    <w:rsid w:val="005446E5"/>
    <w:rsid w:val="005452C4"/>
    <w:rsid w:val="0054688B"/>
    <w:rsid w:val="0055335C"/>
    <w:rsid w:val="0055706B"/>
    <w:rsid w:val="00562063"/>
    <w:rsid w:val="00575FF9"/>
    <w:rsid w:val="00582DEB"/>
    <w:rsid w:val="00585674"/>
    <w:rsid w:val="00595204"/>
    <w:rsid w:val="005A4E25"/>
    <w:rsid w:val="005A6E35"/>
    <w:rsid w:val="005B05A2"/>
    <w:rsid w:val="005B4E6E"/>
    <w:rsid w:val="005C370A"/>
    <w:rsid w:val="005C5930"/>
    <w:rsid w:val="005C5CE9"/>
    <w:rsid w:val="005C719B"/>
    <w:rsid w:val="005D29B8"/>
    <w:rsid w:val="005D3347"/>
    <w:rsid w:val="005E26E3"/>
    <w:rsid w:val="005F7215"/>
    <w:rsid w:val="00601F2D"/>
    <w:rsid w:val="00611F82"/>
    <w:rsid w:val="00625C79"/>
    <w:rsid w:val="00625ED7"/>
    <w:rsid w:val="00626C10"/>
    <w:rsid w:val="006301FC"/>
    <w:rsid w:val="00630783"/>
    <w:rsid w:val="006309A4"/>
    <w:rsid w:val="00634BDC"/>
    <w:rsid w:val="00642196"/>
    <w:rsid w:val="006427A4"/>
    <w:rsid w:val="006427DB"/>
    <w:rsid w:val="0064285A"/>
    <w:rsid w:val="00652326"/>
    <w:rsid w:val="006538CF"/>
    <w:rsid w:val="006548F5"/>
    <w:rsid w:val="006679E6"/>
    <w:rsid w:val="00677AC1"/>
    <w:rsid w:val="00684693"/>
    <w:rsid w:val="006866FA"/>
    <w:rsid w:val="00693DD1"/>
    <w:rsid w:val="00694DB8"/>
    <w:rsid w:val="006A1D7C"/>
    <w:rsid w:val="006A6FC8"/>
    <w:rsid w:val="006A7889"/>
    <w:rsid w:val="006B5F20"/>
    <w:rsid w:val="006B6FBE"/>
    <w:rsid w:val="006C136E"/>
    <w:rsid w:val="006C3A83"/>
    <w:rsid w:val="006C5151"/>
    <w:rsid w:val="006C6941"/>
    <w:rsid w:val="006D102F"/>
    <w:rsid w:val="006E7835"/>
    <w:rsid w:val="006F55BD"/>
    <w:rsid w:val="00702195"/>
    <w:rsid w:val="00711650"/>
    <w:rsid w:val="007129C4"/>
    <w:rsid w:val="007142A9"/>
    <w:rsid w:val="007178E7"/>
    <w:rsid w:val="007519CA"/>
    <w:rsid w:val="00751D8E"/>
    <w:rsid w:val="00753761"/>
    <w:rsid w:val="00753DD2"/>
    <w:rsid w:val="00761478"/>
    <w:rsid w:val="00772E62"/>
    <w:rsid w:val="0079117B"/>
    <w:rsid w:val="00792FA1"/>
    <w:rsid w:val="0079451A"/>
    <w:rsid w:val="00796011"/>
    <w:rsid w:val="007A1FCD"/>
    <w:rsid w:val="007A66C0"/>
    <w:rsid w:val="007B07FA"/>
    <w:rsid w:val="007C707D"/>
    <w:rsid w:val="007E0850"/>
    <w:rsid w:val="007E1363"/>
    <w:rsid w:val="007E1AD2"/>
    <w:rsid w:val="007E3462"/>
    <w:rsid w:val="007E618C"/>
    <w:rsid w:val="007E65CD"/>
    <w:rsid w:val="007F1A31"/>
    <w:rsid w:val="00806536"/>
    <w:rsid w:val="008103CD"/>
    <w:rsid w:val="0081143E"/>
    <w:rsid w:val="00817B29"/>
    <w:rsid w:val="00817D87"/>
    <w:rsid w:val="00824183"/>
    <w:rsid w:val="00824BBD"/>
    <w:rsid w:val="0083059F"/>
    <w:rsid w:val="008374BC"/>
    <w:rsid w:val="00841350"/>
    <w:rsid w:val="008446AA"/>
    <w:rsid w:val="0085441A"/>
    <w:rsid w:val="00855E81"/>
    <w:rsid w:val="008626A9"/>
    <w:rsid w:val="008635F3"/>
    <w:rsid w:val="00870DB1"/>
    <w:rsid w:val="008745B3"/>
    <w:rsid w:val="00886BDE"/>
    <w:rsid w:val="00892F15"/>
    <w:rsid w:val="008A5336"/>
    <w:rsid w:val="008B44F1"/>
    <w:rsid w:val="008B453D"/>
    <w:rsid w:val="008C08C8"/>
    <w:rsid w:val="008C20E3"/>
    <w:rsid w:val="008C28C8"/>
    <w:rsid w:val="008C4107"/>
    <w:rsid w:val="008D4388"/>
    <w:rsid w:val="008E127B"/>
    <w:rsid w:val="008F096A"/>
    <w:rsid w:val="008F0E66"/>
    <w:rsid w:val="008F136D"/>
    <w:rsid w:val="00905015"/>
    <w:rsid w:val="00911A5C"/>
    <w:rsid w:val="00916404"/>
    <w:rsid w:val="00933FC5"/>
    <w:rsid w:val="00935290"/>
    <w:rsid w:val="00937A73"/>
    <w:rsid w:val="00941887"/>
    <w:rsid w:val="00951342"/>
    <w:rsid w:val="00954C73"/>
    <w:rsid w:val="00960D80"/>
    <w:rsid w:val="009642F5"/>
    <w:rsid w:val="00966421"/>
    <w:rsid w:val="00970115"/>
    <w:rsid w:val="00971614"/>
    <w:rsid w:val="0097383B"/>
    <w:rsid w:val="009752E3"/>
    <w:rsid w:val="00990871"/>
    <w:rsid w:val="0099190C"/>
    <w:rsid w:val="009A5DD5"/>
    <w:rsid w:val="009A6F77"/>
    <w:rsid w:val="009A7DFA"/>
    <w:rsid w:val="009B1187"/>
    <w:rsid w:val="009B49D1"/>
    <w:rsid w:val="009B7C60"/>
    <w:rsid w:val="009C7367"/>
    <w:rsid w:val="009D0E92"/>
    <w:rsid w:val="009D661E"/>
    <w:rsid w:val="009E7CE2"/>
    <w:rsid w:val="009F1B6E"/>
    <w:rsid w:val="009F7B86"/>
    <w:rsid w:val="00A03124"/>
    <w:rsid w:val="00A03B41"/>
    <w:rsid w:val="00A04785"/>
    <w:rsid w:val="00A140C2"/>
    <w:rsid w:val="00A15A5A"/>
    <w:rsid w:val="00A169C6"/>
    <w:rsid w:val="00A20A46"/>
    <w:rsid w:val="00A2570F"/>
    <w:rsid w:val="00A2754F"/>
    <w:rsid w:val="00A3345A"/>
    <w:rsid w:val="00A40CDA"/>
    <w:rsid w:val="00A40FA4"/>
    <w:rsid w:val="00A41C95"/>
    <w:rsid w:val="00A5441B"/>
    <w:rsid w:val="00A64559"/>
    <w:rsid w:val="00A67D7C"/>
    <w:rsid w:val="00A7391B"/>
    <w:rsid w:val="00A74A93"/>
    <w:rsid w:val="00A74D2C"/>
    <w:rsid w:val="00A82216"/>
    <w:rsid w:val="00A82F19"/>
    <w:rsid w:val="00A84361"/>
    <w:rsid w:val="00A912DF"/>
    <w:rsid w:val="00AA40CB"/>
    <w:rsid w:val="00AB082A"/>
    <w:rsid w:val="00AC445C"/>
    <w:rsid w:val="00AC5AF8"/>
    <w:rsid w:val="00AD59AD"/>
    <w:rsid w:val="00AF7ADD"/>
    <w:rsid w:val="00B05D30"/>
    <w:rsid w:val="00B0699B"/>
    <w:rsid w:val="00B10424"/>
    <w:rsid w:val="00B12454"/>
    <w:rsid w:val="00B31A03"/>
    <w:rsid w:val="00B339EA"/>
    <w:rsid w:val="00B33C4E"/>
    <w:rsid w:val="00B40AC6"/>
    <w:rsid w:val="00B43D63"/>
    <w:rsid w:val="00B46099"/>
    <w:rsid w:val="00B472D3"/>
    <w:rsid w:val="00B5291E"/>
    <w:rsid w:val="00B575F6"/>
    <w:rsid w:val="00B57E3F"/>
    <w:rsid w:val="00B63EFE"/>
    <w:rsid w:val="00B70433"/>
    <w:rsid w:val="00B83F3E"/>
    <w:rsid w:val="00B860E7"/>
    <w:rsid w:val="00B873F9"/>
    <w:rsid w:val="00B9364C"/>
    <w:rsid w:val="00B947B6"/>
    <w:rsid w:val="00BA1E2E"/>
    <w:rsid w:val="00BA6233"/>
    <w:rsid w:val="00BB591E"/>
    <w:rsid w:val="00BC0D22"/>
    <w:rsid w:val="00BC4083"/>
    <w:rsid w:val="00BC65CA"/>
    <w:rsid w:val="00BD07D1"/>
    <w:rsid w:val="00BD6493"/>
    <w:rsid w:val="00BE2005"/>
    <w:rsid w:val="00BF0E0B"/>
    <w:rsid w:val="00BF3E8D"/>
    <w:rsid w:val="00BF6167"/>
    <w:rsid w:val="00C01FCB"/>
    <w:rsid w:val="00C02634"/>
    <w:rsid w:val="00C056FB"/>
    <w:rsid w:val="00C13176"/>
    <w:rsid w:val="00C16A11"/>
    <w:rsid w:val="00C179CC"/>
    <w:rsid w:val="00C26A72"/>
    <w:rsid w:val="00C310F4"/>
    <w:rsid w:val="00C311F0"/>
    <w:rsid w:val="00C33927"/>
    <w:rsid w:val="00C57FD7"/>
    <w:rsid w:val="00C622C6"/>
    <w:rsid w:val="00C71C02"/>
    <w:rsid w:val="00C7409A"/>
    <w:rsid w:val="00C76399"/>
    <w:rsid w:val="00C763D2"/>
    <w:rsid w:val="00C813EC"/>
    <w:rsid w:val="00C8244C"/>
    <w:rsid w:val="00C83FF0"/>
    <w:rsid w:val="00C85A4F"/>
    <w:rsid w:val="00C93411"/>
    <w:rsid w:val="00C9355F"/>
    <w:rsid w:val="00CA3B73"/>
    <w:rsid w:val="00CB0D90"/>
    <w:rsid w:val="00CC7A09"/>
    <w:rsid w:val="00CD4973"/>
    <w:rsid w:val="00CE473F"/>
    <w:rsid w:val="00CF6A8D"/>
    <w:rsid w:val="00D016BC"/>
    <w:rsid w:val="00D07EB8"/>
    <w:rsid w:val="00D10A1E"/>
    <w:rsid w:val="00D10FEA"/>
    <w:rsid w:val="00D1425A"/>
    <w:rsid w:val="00D24F08"/>
    <w:rsid w:val="00D3144B"/>
    <w:rsid w:val="00D371B5"/>
    <w:rsid w:val="00D404CA"/>
    <w:rsid w:val="00D41749"/>
    <w:rsid w:val="00D46D00"/>
    <w:rsid w:val="00D509ED"/>
    <w:rsid w:val="00D56909"/>
    <w:rsid w:val="00D631CD"/>
    <w:rsid w:val="00D634B1"/>
    <w:rsid w:val="00D7451B"/>
    <w:rsid w:val="00D80CCF"/>
    <w:rsid w:val="00D82366"/>
    <w:rsid w:val="00D86DE5"/>
    <w:rsid w:val="00D9603A"/>
    <w:rsid w:val="00DA431B"/>
    <w:rsid w:val="00DB3D60"/>
    <w:rsid w:val="00DC5D1A"/>
    <w:rsid w:val="00DD1D90"/>
    <w:rsid w:val="00DE3442"/>
    <w:rsid w:val="00DF163C"/>
    <w:rsid w:val="00DF4BB8"/>
    <w:rsid w:val="00E0312B"/>
    <w:rsid w:val="00E113CA"/>
    <w:rsid w:val="00E2296E"/>
    <w:rsid w:val="00E36654"/>
    <w:rsid w:val="00E41925"/>
    <w:rsid w:val="00E66FAB"/>
    <w:rsid w:val="00E673CF"/>
    <w:rsid w:val="00E85AE7"/>
    <w:rsid w:val="00E868A4"/>
    <w:rsid w:val="00E93947"/>
    <w:rsid w:val="00EA5553"/>
    <w:rsid w:val="00EA73A9"/>
    <w:rsid w:val="00EB2ED6"/>
    <w:rsid w:val="00EB4970"/>
    <w:rsid w:val="00EC0A77"/>
    <w:rsid w:val="00EC30B6"/>
    <w:rsid w:val="00ED1D67"/>
    <w:rsid w:val="00EE573C"/>
    <w:rsid w:val="00EE66B8"/>
    <w:rsid w:val="00EF6744"/>
    <w:rsid w:val="00F128A0"/>
    <w:rsid w:val="00F136BA"/>
    <w:rsid w:val="00F15353"/>
    <w:rsid w:val="00F154E6"/>
    <w:rsid w:val="00F210E5"/>
    <w:rsid w:val="00F2457A"/>
    <w:rsid w:val="00F26DAF"/>
    <w:rsid w:val="00F305F1"/>
    <w:rsid w:val="00F30879"/>
    <w:rsid w:val="00F42B64"/>
    <w:rsid w:val="00F54277"/>
    <w:rsid w:val="00F61AE0"/>
    <w:rsid w:val="00F64A80"/>
    <w:rsid w:val="00F65099"/>
    <w:rsid w:val="00F70878"/>
    <w:rsid w:val="00F81EBE"/>
    <w:rsid w:val="00F829D6"/>
    <w:rsid w:val="00F85075"/>
    <w:rsid w:val="00F96867"/>
    <w:rsid w:val="00FA01FE"/>
    <w:rsid w:val="00FA4142"/>
    <w:rsid w:val="00FB3EFB"/>
    <w:rsid w:val="00FC26AD"/>
    <w:rsid w:val="00FC2836"/>
    <w:rsid w:val="00FD5862"/>
    <w:rsid w:val="00FD666F"/>
    <w:rsid w:val="00FD7038"/>
    <w:rsid w:val="00FE09B0"/>
    <w:rsid w:val="00FE6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DA0B38"/>
  <w15:docId w15:val="{1DDA36B9-566A-4784-91A4-06D0A96F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A1E"/>
    <w:rPr>
      <w:rFonts w:ascii="Arial" w:hAnsi="Arial"/>
      <w:sz w:val="22"/>
      <w:lang w:eastAsia="en-US"/>
    </w:rPr>
  </w:style>
  <w:style w:type="paragraph" w:styleId="Heading1">
    <w:name w:val="heading 1"/>
    <w:basedOn w:val="Normal"/>
    <w:next w:val="Normal"/>
    <w:link w:val="Heading1Char"/>
    <w:qFormat/>
    <w:rsid w:val="000C35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55798"/>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355798"/>
    <w:pPr>
      <w:keepNext/>
      <w:spacing w:before="240" w:after="60"/>
      <w:outlineLvl w:val="2"/>
    </w:pPr>
    <w:rPr>
      <w:rFonts w:cs="Arial"/>
      <w:b/>
      <w:bCs/>
      <w:sz w:val="26"/>
      <w:szCs w:val="26"/>
    </w:rPr>
  </w:style>
  <w:style w:type="paragraph" w:styleId="Heading7">
    <w:name w:val="heading 7"/>
    <w:basedOn w:val="Normal"/>
    <w:next w:val="Normal"/>
    <w:link w:val="Heading7Char"/>
    <w:unhideWhenUsed/>
    <w:qFormat/>
    <w:rsid w:val="00C310F4"/>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0A1E"/>
    <w:pPr>
      <w:tabs>
        <w:tab w:val="center" w:pos="4320"/>
        <w:tab w:val="right" w:pos="8640"/>
      </w:tabs>
    </w:pPr>
    <w:rPr>
      <w:sz w:val="24"/>
    </w:rPr>
  </w:style>
  <w:style w:type="table" w:styleId="TableGrid">
    <w:name w:val="Table Grid"/>
    <w:basedOn w:val="TableNormal"/>
    <w:uiPriority w:val="59"/>
    <w:rsid w:val="00355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55798"/>
    <w:pPr>
      <w:tabs>
        <w:tab w:val="center" w:pos="4153"/>
        <w:tab w:val="right" w:pos="8306"/>
      </w:tabs>
    </w:pPr>
  </w:style>
  <w:style w:type="character" w:styleId="PageNumber">
    <w:name w:val="page number"/>
    <w:basedOn w:val="DefaultParagraphFont"/>
    <w:rsid w:val="00355798"/>
  </w:style>
  <w:style w:type="paragraph" w:customStyle="1" w:styleId="CMTsubheading">
    <w:name w:val="CMT sub heading"/>
    <w:basedOn w:val="Normal"/>
    <w:next w:val="Normal"/>
    <w:rsid w:val="0055706B"/>
    <w:pPr>
      <w:spacing w:after="240"/>
    </w:pPr>
    <w:rPr>
      <w:b/>
      <w:bCs/>
    </w:rPr>
  </w:style>
  <w:style w:type="paragraph" w:customStyle="1" w:styleId="CMTNumbered1">
    <w:name w:val="CMT Numbered 1"/>
    <w:basedOn w:val="Normal"/>
    <w:rsid w:val="00D10A1E"/>
    <w:pPr>
      <w:jc w:val="both"/>
    </w:pPr>
    <w:rPr>
      <w:sz w:val="24"/>
    </w:rPr>
  </w:style>
  <w:style w:type="paragraph" w:customStyle="1" w:styleId="CMTNumbered2">
    <w:name w:val="CMT Numbered 2"/>
    <w:basedOn w:val="Normal"/>
    <w:rsid w:val="0055706B"/>
    <w:pPr>
      <w:numPr>
        <w:numId w:val="1"/>
      </w:numPr>
      <w:spacing w:after="240"/>
      <w:jc w:val="both"/>
    </w:pPr>
  </w:style>
  <w:style w:type="paragraph" w:customStyle="1" w:styleId="StyleHeaderArial12ptBoldRed">
    <w:name w:val="Style Header + Arial 12 pt Bold Red"/>
    <w:basedOn w:val="Normal"/>
    <w:rsid w:val="00324DD5"/>
    <w:rPr>
      <w:b/>
      <w:bCs/>
      <w:color w:val="FF0000"/>
    </w:rPr>
  </w:style>
  <w:style w:type="paragraph" w:customStyle="1" w:styleId="Style12ptLatinBoldRight">
    <w:name w:val="Style 12 pt (Latin) Bold Right"/>
    <w:basedOn w:val="Normal"/>
    <w:rsid w:val="0055706B"/>
    <w:pPr>
      <w:jc w:val="right"/>
    </w:pPr>
    <w:rPr>
      <w:b/>
      <w:szCs w:val="24"/>
    </w:rPr>
  </w:style>
  <w:style w:type="paragraph" w:customStyle="1" w:styleId="StyleComplexArial12ptLatinBoldJustified">
    <w:name w:val="Style (Complex) Arial 12 pt (Latin) Bold Justified"/>
    <w:basedOn w:val="Normal"/>
    <w:rsid w:val="0055706B"/>
    <w:pPr>
      <w:jc w:val="both"/>
    </w:pPr>
    <w:rPr>
      <w:rFonts w:cs="Arial"/>
      <w:b/>
      <w:szCs w:val="24"/>
    </w:rPr>
  </w:style>
  <w:style w:type="paragraph" w:customStyle="1" w:styleId="StyleComplexArial12ptLatinBoldJustified1">
    <w:name w:val="Style (Complex) Arial 12 pt (Latin) Bold Justified1"/>
    <w:basedOn w:val="Normal"/>
    <w:rsid w:val="0055706B"/>
    <w:pPr>
      <w:jc w:val="both"/>
    </w:pPr>
    <w:rPr>
      <w:rFonts w:cs="Arial"/>
      <w:b/>
      <w:szCs w:val="24"/>
    </w:rPr>
  </w:style>
  <w:style w:type="paragraph" w:customStyle="1" w:styleId="RightJust">
    <w:name w:val="Right Just"/>
    <w:basedOn w:val="Normal"/>
    <w:next w:val="Normal"/>
    <w:rsid w:val="0055706B"/>
    <w:pPr>
      <w:jc w:val="both"/>
    </w:pPr>
    <w:rPr>
      <w:rFonts w:cs="Arial"/>
      <w:b/>
      <w:szCs w:val="24"/>
    </w:rPr>
  </w:style>
  <w:style w:type="paragraph" w:customStyle="1" w:styleId="StyleComplex12ptBoldRight">
    <w:name w:val="Style (Complex) 12 pt Bold Right"/>
    <w:basedOn w:val="Normal"/>
    <w:next w:val="Normal"/>
    <w:rsid w:val="0055706B"/>
    <w:pPr>
      <w:jc w:val="right"/>
    </w:pPr>
    <w:rPr>
      <w:b/>
      <w:bCs/>
      <w:szCs w:val="24"/>
    </w:rPr>
  </w:style>
  <w:style w:type="paragraph" w:styleId="BalloonText">
    <w:name w:val="Balloon Text"/>
    <w:basedOn w:val="Normal"/>
    <w:link w:val="BalloonTextChar"/>
    <w:rsid w:val="00F136BA"/>
    <w:rPr>
      <w:rFonts w:ascii="Tahoma" w:hAnsi="Tahoma" w:cs="Tahoma"/>
      <w:sz w:val="16"/>
      <w:szCs w:val="16"/>
    </w:rPr>
  </w:style>
  <w:style w:type="character" w:customStyle="1" w:styleId="BalloonTextChar">
    <w:name w:val="Balloon Text Char"/>
    <w:basedOn w:val="DefaultParagraphFont"/>
    <w:link w:val="BalloonText"/>
    <w:rsid w:val="00F136BA"/>
    <w:rPr>
      <w:rFonts w:ascii="Tahoma" w:hAnsi="Tahoma" w:cs="Tahoma"/>
      <w:sz w:val="16"/>
      <w:szCs w:val="16"/>
      <w:lang w:eastAsia="en-US"/>
    </w:rPr>
  </w:style>
  <w:style w:type="paragraph" w:styleId="ListParagraph">
    <w:name w:val="List Paragraph"/>
    <w:aliases w:val="Sub - List Bullet Point"/>
    <w:basedOn w:val="Normal"/>
    <w:uiPriority w:val="34"/>
    <w:qFormat/>
    <w:rsid w:val="007E3462"/>
    <w:pPr>
      <w:ind w:left="720"/>
      <w:contextualSpacing/>
    </w:pPr>
  </w:style>
  <w:style w:type="character" w:styleId="CommentReference">
    <w:name w:val="annotation reference"/>
    <w:basedOn w:val="DefaultParagraphFont"/>
    <w:rsid w:val="005B05A2"/>
    <w:rPr>
      <w:sz w:val="16"/>
      <w:szCs w:val="16"/>
    </w:rPr>
  </w:style>
  <w:style w:type="paragraph" w:styleId="CommentText">
    <w:name w:val="annotation text"/>
    <w:basedOn w:val="Normal"/>
    <w:link w:val="CommentTextChar"/>
    <w:rsid w:val="005B05A2"/>
    <w:rPr>
      <w:sz w:val="20"/>
    </w:rPr>
  </w:style>
  <w:style w:type="character" w:customStyle="1" w:styleId="CommentTextChar">
    <w:name w:val="Comment Text Char"/>
    <w:basedOn w:val="DefaultParagraphFont"/>
    <w:link w:val="CommentText"/>
    <w:rsid w:val="005B05A2"/>
    <w:rPr>
      <w:rFonts w:ascii="Arial" w:hAnsi="Arial"/>
      <w:lang w:eastAsia="en-US"/>
    </w:rPr>
  </w:style>
  <w:style w:type="paragraph" w:styleId="CommentSubject">
    <w:name w:val="annotation subject"/>
    <w:basedOn w:val="CommentText"/>
    <w:next w:val="CommentText"/>
    <w:link w:val="CommentSubjectChar"/>
    <w:rsid w:val="005B05A2"/>
    <w:rPr>
      <w:b/>
      <w:bCs/>
    </w:rPr>
  </w:style>
  <w:style w:type="character" w:customStyle="1" w:styleId="CommentSubjectChar">
    <w:name w:val="Comment Subject Char"/>
    <w:basedOn w:val="CommentTextChar"/>
    <w:link w:val="CommentSubject"/>
    <w:rsid w:val="005B05A2"/>
    <w:rPr>
      <w:rFonts w:ascii="Arial" w:hAnsi="Arial"/>
      <w:b/>
      <w:bCs/>
      <w:lang w:eastAsia="en-US"/>
    </w:rPr>
  </w:style>
  <w:style w:type="character" w:customStyle="1" w:styleId="Heading1Char">
    <w:name w:val="Heading 1 Char"/>
    <w:basedOn w:val="DefaultParagraphFont"/>
    <w:link w:val="Heading1"/>
    <w:rsid w:val="000C359E"/>
    <w:rPr>
      <w:rFonts w:asciiTheme="majorHAnsi" w:eastAsiaTheme="majorEastAsia" w:hAnsiTheme="majorHAnsi" w:cstheme="majorBidi"/>
      <w:b/>
      <w:bCs/>
      <w:color w:val="365F91" w:themeColor="accent1" w:themeShade="BF"/>
      <w:sz w:val="28"/>
      <w:szCs w:val="28"/>
      <w:lang w:eastAsia="en-US"/>
    </w:rPr>
  </w:style>
  <w:style w:type="character" w:styleId="Hyperlink">
    <w:name w:val="Hyperlink"/>
    <w:basedOn w:val="DefaultParagraphFont"/>
    <w:uiPriority w:val="99"/>
    <w:rsid w:val="007E1AD2"/>
    <w:rPr>
      <w:color w:val="0000FF" w:themeColor="hyperlink"/>
      <w:u w:val="single"/>
    </w:rPr>
  </w:style>
  <w:style w:type="character" w:styleId="FollowedHyperlink">
    <w:name w:val="FollowedHyperlink"/>
    <w:basedOn w:val="DefaultParagraphFont"/>
    <w:rsid w:val="00A2754F"/>
    <w:rPr>
      <w:color w:val="800080" w:themeColor="followedHyperlink"/>
      <w:u w:val="single"/>
    </w:rPr>
  </w:style>
  <w:style w:type="paragraph" w:customStyle="1" w:styleId="Ahead">
    <w:name w:val="A head"/>
    <w:basedOn w:val="Normal"/>
    <w:next w:val="Normal"/>
    <w:link w:val="AheadChar"/>
    <w:qFormat/>
    <w:rsid w:val="0079451A"/>
    <w:pPr>
      <w:spacing w:after="120" w:line="360" w:lineRule="auto"/>
    </w:pPr>
    <w:rPr>
      <w:rFonts w:eastAsiaTheme="minorHAnsi" w:cs="Arial"/>
      <w:b/>
      <w:sz w:val="40"/>
      <w:szCs w:val="24"/>
      <w:lang w:eastAsia="en-GB"/>
    </w:rPr>
  </w:style>
  <w:style w:type="character" w:customStyle="1" w:styleId="AheadChar">
    <w:name w:val="A head Char"/>
    <w:basedOn w:val="DefaultParagraphFont"/>
    <w:link w:val="Ahead"/>
    <w:rsid w:val="0079451A"/>
    <w:rPr>
      <w:rFonts w:ascii="Arial" w:eastAsiaTheme="minorHAnsi" w:hAnsi="Arial" w:cs="Arial"/>
      <w:b/>
      <w:sz w:val="40"/>
      <w:szCs w:val="24"/>
    </w:rPr>
  </w:style>
  <w:style w:type="paragraph" w:customStyle="1" w:styleId="TableNumberedList">
    <w:name w:val="TableNumberedList"/>
    <w:basedOn w:val="Normal"/>
    <w:autoRedefine/>
    <w:qFormat/>
    <w:rsid w:val="0079451A"/>
    <w:pPr>
      <w:numPr>
        <w:numId w:val="2"/>
      </w:numPr>
      <w:tabs>
        <w:tab w:val="left" w:pos="284"/>
      </w:tabs>
    </w:pPr>
    <w:rPr>
      <w:sz w:val="20"/>
    </w:rPr>
  </w:style>
  <w:style w:type="table" w:customStyle="1" w:styleId="ListTable3-Accent51">
    <w:name w:val="List Table 3 - Accent 51"/>
    <w:basedOn w:val="TableNormal"/>
    <w:uiPriority w:val="48"/>
    <w:rsid w:val="004A3F6B"/>
    <w:rPr>
      <w:rFonts w:eastAsia="Calibri"/>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Default">
    <w:name w:val="Default"/>
    <w:rsid w:val="00E66FAB"/>
    <w:pPr>
      <w:autoSpaceDE w:val="0"/>
      <w:autoSpaceDN w:val="0"/>
      <w:adjustRightInd w:val="0"/>
    </w:pPr>
    <w:rPr>
      <w:rFonts w:ascii="Arial" w:eastAsia="Calibri" w:hAnsi="Arial" w:cs="Arial"/>
      <w:color w:val="000000"/>
      <w:sz w:val="24"/>
      <w:szCs w:val="24"/>
    </w:rPr>
  </w:style>
  <w:style w:type="paragraph" w:customStyle="1" w:styleId="Dhead">
    <w:name w:val="D head"/>
    <w:basedOn w:val="Normal"/>
    <w:next w:val="Normal"/>
    <w:link w:val="DheadChar"/>
    <w:qFormat/>
    <w:rsid w:val="003B13C0"/>
    <w:pPr>
      <w:spacing w:after="120" w:line="360" w:lineRule="auto"/>
    </w:pPr>
    <w:rPr>
      <w:rFonts w:eastAsia="Cambria"/>
      <w:color w:val="002060"/>
      <w:sz w:val="28"/>
      <w:szCs w:val="24"/>
      <w:lang w:eastAsia="en-GB"/>
    </w:rPr>
  </w:style>
  <w:style w:type="character" w:customStyle="1" w:styleId="DheadChar">
    <w:name w:val="D head Char"/>
    <w:basedOn w:val="DefaultParagraphFont"/>
    <w:link w:val="Dhead"/>
    <w:rsid w:val="003B13C0"/>
    <w:rPr>
      <w:rFonts w:ascii="Arial" w:eastAsia="Cambria" w:hAnsi="Arial"/>
      <w:color w:val="002060"/>
      <w:sz w:val="28"/>
      <w:szCs w:val="24"/>
    </w:rPr>
  </w:style>
  <w:style w:type="character" w:customStyle="1" w:styleId="Heading7Char">
    <w:name w:val="Heading 7 Char"/>
    <w:basedOn w:val="DefaultParagraphFont"/>
    <w:link w:val="Heading7"/>
    <w:rsid w:val="00C310F4"/>
    <w:rPr>
      <w:rFonts w:asciiTheme="majorHAnsi" w:eastAsiaTheme="majorEastAsia" w:hAnsiTheme="majorHAnsi" w:cstheme="majorBidi"/>
      <w:i/>
      <w:iCs/>
      <w:color w:val="243F60" w:themeColor="accent1" w:themeShade="7F"/>
      <w:sz w:val="22"/>
      <w:lang w:eastAsia="en-US"/>
    </w:rPr>
  </w:style>
  <w:style w:type="numbering" w:customStyle="1" w:styleId="NoList1">
    <w:name w:val="No List1"/>
    <w:next w:val="NoList"/>
    <w:uiPriority w:val="99"/>
    <w:semiHidden/>
    <w:unhideWhenUsed/>
    <w:rsid w:val="00C310F4"/>
  </w:style>
  <w:style w:type="numbering" w:customStyle="1" w:styleId="StyleBulleted">
    <w:name w:val="Style Bulleted"/>
    <w:rsid w:val="00C310F4"/>
    <w:pPr>
      <w:numPr>
        <w:numId w:val="4"/>
      </w:numPr>
    </w:pPr>
  </w:style>
  <w:style w:type="paragraph" w:styleId="Caption">
    <w:name w:val="caption"/>
    <w:basedOn w:val="Normal"/>
    <w:next w:val="Normal"/>
    <w:qFormat/>
    <w:rsid w:val="00C310F4"/>
    <w:pPr>
      <w:jc w:val="center"/>
    </w:pPr>
    <w:rPr>
      <w:b/>
      <w:bCs/>
      <w:sz w:val="24"/>
    </w:rPr>
  </w:style>
  <w:style w:type="paragraph" w:customStyle="1" w:styleId="StyleCaptionLeft">
    <w:name w:val="Style Caption + Left"/>
    <w:basedOn w:val="Caption"/>
    <w:rsid w:val="00C310F4"/>
  </w:style>
  <w:style w:type="paragraph" w:customStyle="1" w:styleId="HSBaseStyle">
    <w:name w:val="HS_BaseStyle"/>
    <w:next w:val="Normal"/>
    <w:rsid w:val="00C310F4"/>
    <w:pPr>
      <w:keepNext/>
    </w:pPr>
    <w:rPr>
      <w:rFonts w:ascii="Arial" w:hAnsi="Arial"/>
      <w:spacing w:val="-5"/>
      <w:sz w:val="24"/>
      <w:lang w:eastAsia="en-US"/>
    </w:rPr>
  </w:style>
  <w:style w:type="paragraph" w:styleId="NormalWeb">
    <w:name w:val="Normal (Web)"/>
    <w:basedOn w:val="Normal"/>
    <w:rsid w:val="00C310F4"/>
    <w:pPr>
      <w:spacing w:before="100" w:beforeAutospacing="1" w:after="100" w:afterAutospacing="1"/>
    </w:pPr>
    <w:rPr>
      <w:rFonts w:ascii="Times New Roman" w:hAnsi="Times New Roman"/>
      <w:sz w:val="24"/>
      <w:szCs w:val="24"/>
      <w:lang w:val="en-US"/>
    </w:rPr>
  </w:style>
  <w:style w:type="paragraph" w:styleId="TOC1">
    <w:name w:val="toc 1"/>
    <w:basedOn w:val="Normal"/>
    <w:next w:val="Normal"/>
    <w:autoRedefine/>
    <w:uiPriority w:val="39"/>
    <w:rsid w:val="00C310F4"/>
    <w:rPr>
      <w:sz w:val="24"/>
    </w:rPr>
  </w:style>
  <w:style w:type="paragraph" w:styleId="EndnoteText">
    <w:name w:val="endnote text"/>
    <w:basedOn w:val="Normal"/>
    <w:link w:val="EndnoteTextChar"/>
    <w:semiHidden/>
    <w:rsid w:val="00C310F4"/>
    <w:rPr>
      <w:sz w:val="20"/>
    </w:rPr>
  </w:style>
  <w:style w:type="character" w:customStyle="1" w:styleId="EndnoteTextChar">
    <w:name w:val="Endnote Text Char"/>
    <w:basedOn w:val="DefaultParagraphFont"/>
    <w:link w:val="EndnoteText"/>
    <w:semiHidden/>
    <w:rsid w:val="00C310F4"/>
    <w:rPr>
      <w:rFonts w:ascii="Arial" w:hAnsi="Arial"/>
      <w:lang w:eastAsia="en-US"/>
    </w:rPr>
  </w:style>
  <w:style w:type="character" w:styleId="EndnoteReference">
    <w:name w:val="endnote reference"/>
    <w:semiHidden/>
    <w:rsid w:val="00C310F4"/>
    <w:rPr>
      <w:vertAlign w:val="superscript"/>
    </w:rPr>
  </w:style>
  <w:style w:type="paragraph" w:styleId="TOC2">
    <w:name w:val="toc 2"/>
    <w:basedOn w:val="Normal"/>
    <w:next w:val="Normal"/>
    <w:autoRedefine/>
    <w:uiPriority w:val="39"/>
    <w:rsid w:val="00C310F4"/>
    <w:pPr>
      <w:ind w:left="240"/>
    </w:pPr>
    <w:rPr>
      <w:sz w:val="24"/>
    </w:rPr>
  </w:style>
  <w:style w:type="table" w:customStyle="1" w:styleId="TableGrid1">
    <w:name w:val="Table Grid1"/>
    <w:basedOn w:val="TableNormal"/>
    <w:next w:val="TableGrid"/>
    <w:uiPriority w:val="59"/>
    <w:rsid w:val="00C310F4"/>
    <w:rPr>
      <w:rFonts w:ascii="Arial" w:hAnsi="Arial"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078EB"/>
  </w:style>
  <w:style w:type="character" w:customStyle="1" w:styleId="Heading2Char">
    <w:name w:val="Heading 2 Char"/>
    <w:basedOn w:val="DefaultParagraphFont"/>
    <w:link w:val="Heading2"/>
    <w:rsid w:val="005078EB"/>
    <w:rPr>
      <w:rFonts w:ascii="Arial" w:hAnsi="Arial" w:cs="Arial"/>
      <w:b/>
      <w:bCs/>
      <w:i/>
      <w:iCs/>
      <w:sz w:val="28"/>
      <w:szCs w:val="28"/>
      <w:lang w:eastAsia="en-US"/>
    </w:rPr>
  </w:style>
  <w:style w:type="character" w:customStyle="1" w:styleId="Heading3Char">
    <w:name w:val="Heading 3 Char"/>
    <w:basedOn w:val="DefaultParagraphFont"/>
    <w:link w:val="Heading3"/>
    <w:rsid w:val="005078EB"/>
    <w:rPr>
      <w:rFonts w:ascii="Arial" w:hAnsi="Arial" w:cs="Arial"/>
      <w:b/>
      <w:bCs/>
      <w:sz w:val="26"/>
      <w:szCs w:val="26"/>
      <w:lang w:eastAsia="en-US"/>
    </w:rPr>
  </w:style>
  <w:style w:type="numbering" w:customStyle="1" w:styleId="StyleBulleted1">
    <w:name w:val="Style Bulleted1"/>
    <w:rsid w:val="005078EB"/>
    <w:pPr>
      <w:numPr>
        <w:numId w:val="2"/>
      </w:numPr>
    </w:pPr>
  </w:style>
  <w:style w:type="character" w:customStyle="1" w:styleId="HeaderChar">
    <w:name w:val="Header Char"/>
    <w:basedOn w:val="DefaultParagraphFont"/>
    <w:link w:val="Header"/>
    <w:rsid w:val="005078EB"/>
    <w:rPr>
      <w:rFonts w:ascii="Arial" w:hAnsi="Arial"/>
      <w:sz w:val="24"/>
      <w:lang w:eastAsia="en-US"/>
    </w:rPr>
  </w:style>
  <w:style w:type="character" w:customStyle="1" w:styleId="FooterChar">
    <w:name w:val="Footer Char"/>
    <w:basedOn w:val="DefaultParagraphFont"/>
    <w:link w:val="Footer"/>
    <w:rsid w:val="005078EB"/>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2446">
      <w:bodyDiv w:val="1"/>
      <w:marLeft w:val="0"/>
      <w:marRight w:val="0"/>
      <w:marTop w:val="0"/>
      <w:marBottom w:val="0"/>
      <w:divBdr>
        <w:top w:val="none" w:sz="0" w:space="0" w:color="auto"/>
        <w:left w:val="none" w:sz="0" w:space="0" w:color="auto"/>
        <w:bottom w:val="none" w:sz="0" w:space="0" w:color="auto"/>
        <w:right w:val="none" w:sz="0" w:space="0" w:color="auto"/>
      </w:divBdr>
    </w:div>
    <w:div w:id="719325956">
      <w:bodyDiv w:val="1"/>
      <w:marLeft w:val="0"/>
      <w:marRight w:val="0"/>
      <w:marTop w:val="0"/>
      <w:marBottom w:val="0"/>
      <w:divBdr>
        <w:top w:val="none" w:sz="0" w:space="0" w:color="auto"/>
        <w:left w:val="none" w:sz="0" w:space="0" w:color="auto"/>
        <w:bottom w:val="none" w:sz="0" w:space="0" w:color="auto"/>
        <w:right w:val="none" w:sz="0" w:space="0" w:color="auto"/>
      </w:divBdr>
    </w:div>
    <w:div w:id="1155804333">
      <w:bodyDiv w:val="1"/>
      <w:marLeft w:val="0"/>
      <w:marRight w:val="0"/>
      <w:marTop w:val="0"/>
      <w:marBottom w:val="0"/>
      <w:divBdr>
        <w:top w:val="none" w:sz="0" w:space="0" w:color="auto"/>
        <w:left w:val="none" w:sz="0" w:space="0" w:color="auto"/>
        <w:bottom w:val="none" w:sz="0" w:space="0" w:color="auto"/>
        <w:right w:val="none" w:sz="0" w:space="0" w:color="auto"/>
      </w:divBdr>
    </w:div>
    <w:div w:id="152918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nhs.healthscotland-ceo@nhs.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o\AppData\Roaming\Microsoft\Templates\AC%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9392c51-0192-4e0e-b858-3a8b41b0fb8c">
      <Value>93</Value>
      <Value>27</Value>
      <Value>2</Value>
      <Value>1</Value>
    </TaxCatchAll>
    <fba6dfcc2af44adea37847533b330e68 xmlns="cccae95b-8272-4d3b-a473-b6c8d0e6a9c9">
      <Terms xmlns="http://schemas.microsoft.com/office/infopath/2007/PartnerControls">
        <TermInfo xmlns="http://schemas.microsoft.com/office/infopath/2007/PartnerControls">
          <TermName xmlns="http://schemas.microsoft.com/office/infopath/2007/PartnerControls">Audit Committee</TermName>
          <TermId xmlns="http://schemas.microsoft.com/office/infopath/2007/PartnerControls">60867684-507a-49fc-9362-2e9401ce2d95</TermId>
        </TermInfo>
      </Terms>
    </fba6dfcc2af44adea37847533b330e68>
    <h8eed792b92e48279ed168a2a9339320 xmlns="cccae95b-8272-4d3b-a473-b6c8d0e6a9c9">
      <Terms xmlns="http://schemas.microsoft.com/office/infopath/2007/PartnerControls"/>
    </h8eed792b92e48279ed168a2a9339320>
    <jb93cbee0c084f989a3e3251df0788e6 xmlns="cccae95b-8272-4d3b-a473-b6c8d0e6a9c9">
      <Terms xmlns="http://schemas.microsoft.com/office/infopath/2007/PartnerControls">
        <TermInfo xmlns="http://schemas.microsoft.com/office/infopath/2007/PartnerControls">
          <TermName xmlns="http://schemas.microsoft.com/office/infopath/2007/PartnerControls">June</TermName>
          <TermId xmlns="http://schemas.microsoft.com/office/infopath/2007/PartnerControls">50a24c58-0ba8-4020-b9d5-e889b52cd573</TermId>
        </TermInfo>
      </Terms>
    </jb93cbee0c084f989a3e3251df0788e6>
    <gf65f78dddfe4f2f9719a0c3d59fbaf7 xmlns="cccae95b-8272-4d3b-a473-b6c8d0e6a9c9">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108c8c6e-9117-47f5-8925-4b152f0cc9eb</TermId>
        </TermInfo>
      </Terms>
    </gf65f78dddfe4f2f9719a0c3d59fbaf7>
    <_dlc_DocIdUrl xmlns="cccae95b-8272-4d3b-a473-b6c8d0e6a9c9">
      <Url>http://extranet.healthscotland.com/sites/boardmeetings/_layouts/15/DocIdRedir.aspx?ID=RT6SXDMH4ZFD-1935740769-586</Url>
      <Description>RT6SXDMH4ZFD-1935740769-586</Description>
    </_dlc_DocIdUrl>
    <_dlc_DocId xmlns="cccae95b-8272-4d3b-a473-b6c8d0e6a9c9">RT6SXDMH4ZFD-1935740769-586</_dlc_Doc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HS CEO Document" ma:contentTypeID="0x010100AB71BC9B4D1D724495B6D89DE9CAF18300BA76C7B1B4CB2C4BABAAAD7F3D123A2B00B7D2FEF73E46D24E83F3DF4E755F733D" ma:contentTypeVersion="4" ma:contentTypeDescription="Create a new document." ma:contentTypeScope="" ma:versionID="06ba11d92df2420dbd04600fe63a40cd">
  <xsd:schema xmlns:xsd="http://www.w3.org/2001/XMLSchema" xmlns:xs="http://www.w3.org/2001/XMLSchema" xmlns:p="http://schemas.microsoft.com/office/2006/metadata/properties" xmlns:ns2="cccae95b-8272-4d3b-a473-b6c8d0e6a9c9" xmlns:ns3="79392c51-0192-4e0e-b858-3a8b41b0fb8c" targetNamespace="http://schemas.microsoft.com/office/2006/metadata/properties" ma:root="true" ma:fieldsID="6c59cfa5d45c1f844ed364f12127ddb5" ns2:_="" ns3:_="">
    <xsd:import namespace="cccae95b-8272-4d3b-a473-b6c8d0e6a9c9"/>
    <xsd:import namespace="79392c51-0192-4e0e-b858-3a8b41b0fb8c"/>
    <xsd:element name="properties">
      <xsd:complexType>
        <xsd:sequence>
          <xsd:element name="documentManagement">
            <xsd:complexType>
              <xsd:all>
                <xsd:element ref="ns2:fba6dfcc2af44adea37847533b330e68" minOccurs="0"/>
                <xsd:element ref="ns3:TaxCatchAll" minOccurs="0"/>
                <xsd:element ref="ns3:TaxCatchAllLabel" minOccurs="0"/>
                <xsd:element ref="ns2:gf65f78dddfe4f2f9719a0c3d59fbaf7" minOccurs="0"/>
                <xsd:element ref="ns2:jb93cbee0c084f989a3e3251df0788e6" minOccurs="0"/>
                <xsd:element ref="ns2:h8eed792b92e48279ed168a2a9339320"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ae95b-8272-4d3b-a473-b6c8d0e6a9c9" elementFormDefault="qualified">
    <xsd:import namespace="http://schemas.microsoft.com/office/2006/documentManagement/types"/>
    <xsd:import namespace="http://schemas.microsoft.com/office/infopath/2007/PartnerControls"/>
    <xsd:element name="fba6dfcc2af44adea37847533b330e68" ma:index="8" ma:taxonomy="true" ma:internalName="fba6dfcc2af44adea37847533b330e68" ma:taxonomyFieldName="HSDocumentTag" ma:displayName="HS Document Tag" ma:readOnly="false" ma:fieldId="{fba6dfcc-2af4-4ade-a378-47533b330e68}" ma:taxonomyMulti="true" ma:sspId="c0f6cbc1-8b72-4b83-9c85-1dd2ec6ede9a" ma:termSetId="de4b84b4-8f63-4e23-8c8c-3fef434f4083" ma:anchorId="00000000-0000-0000-0000-000000000000" ma:open="false" ma:isKeyword="false">
      <xsd:complexType>
        <xsd:sequence>
          <xsd:element ref="pc:Terms" minOccurs="0" maxOccurs="1"/>
        </xsd:sequence>
      </xsd:complexType>
    </xsd:element>
    <xsd:element name="gf65f78dddfe4f2f9719a0c3d59fbaf7" ma:index="12" nillable="true" ma:taxonomy="true" ma:internalName="gf65f78dddfe4f2f9719a0c3d59fbaf7" ma:taxonomyFieldName="HSYear" ma:displayName="HS Year" ma:readOnly="false" ma:fieldId="{0f65f78d-ddfe-4f2f-9719-a0c3d59fbaf7}" ma:sspId="c0f6cbc1-8b72-4b83-9c85-1dd2ec6ede9a" ma:termSetId="9144fb4a-73f0-4b6e-aed3-3dd2466e0982" ma:anchorId="00000000-0000-0000-0000-000000000000" ma:open="false" ma:isKeyword="false">
      <xsd:complexType>
        <xsd:sequence>
          <xsd:element ref="pc:Terms" minOccurs="0" maxOccurs="1"/>
        </xsd:sequence>
      </xsd:complexType>
    </xsd:element>
    <xsd:element name="jb93cbee0c084f989a3e3251df0788e6" ma:index="14" nillable="true" ma:taxonomy="true" ma:internalName="jb93cbee0c084f989a3e3251df0788e6" ma:taxonomyFieldName="HSMonth" ma:displayName="HS Month" ma:readOnly="false" ma:fieldId="{3b93cbee-0c08-4f98-9a3e-3251df0788e6}" ma:sspId="c0f6cbc1-8b72-4b83-9c85-1dd2ec6ede9a" ma:termSetId="ac3c59ba-1895-4a12-af7b-2d04ef4651d3" ma:anchorId="00000000-0000-0000-0000-000000000000" ma:open="false" ma:isKeyword="false">
      <xsd:complexType>
        <xsd:sequence>
          <xsd:element ref="pc:Terms" minOccurs="0" maxOccurs="1"/>
        </xsd:sequence>
      </xsd:complexType>
    </xsd:element>
    <xsd:element name="h8eed792b92e48279ed168a2a9339320" ma:index="16" nillable="true" ma:taxonomy="true" ma:internalName="h8eed792b92e48279ed168a2a9339320" ma:taxonomyFieldName="HSCEOPersonnelName" ma:displayName="HS CEO Personnel Name" ma:fieldId="{18eed792-b92e-4827-9ed1-68a2a9339320}" ma:sspId="c0f6cbc1-8b72-4b83-9c85-1dd2ec6ede9a" ma:termSetId="2501012a-afed-4094-9e97-17520b4fa362"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392c51-0192-4e0e-b858-3a8b41b0fb8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21234fd0-4410-4f27-a5ca-e058bbbc3764}" ma:internalName="TaxCatchAll" ma:showField="CatchAllData" ma:web="cccae95b-8272-4d3b-a473-b6c8d0e6a9c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1234fd0-4410-4f27-a5ca-e058bbbc3764}" ma:internalName="TaxCatchAllLabel" ma:readOnly="true" ma:showField="CatchAllDataLabel" ma:web="cccae95b-8272-4d3b-a473-b6c8d0e6a9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0F5A7-C2A4-44EB-9B29-B6614174AB0F}">
  <ds:schemaRefs>
    <ds:schemaRef ds:uri="http://schemas.microsoft.com/office/2006/documentManagement/types"/>
    <ds:schemaRef ds:uri="cccae95b-8272-4d3b-a473-b6c8d0e6a9c9"/>
    <ds:schemaRef ds:uri="http://schemas.microsoft.com/office/2006/metadata/properties"/>
    <ds:schemaRef ds:uri="http://purl.org/dc/dcmitype/"/>
    <ds:schemaRef ds:uri="79392c51-0192-4e0e-b858-3a8b41b0fb8c"/>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1C2C9CB-BEA6-425D-97E8-A7C0247AE737}">
  <ds:schemaRefs>
    <ds:schemaRef ds:uri="http://schemas.microsoft.com/sharepoint/v3/contenttype/forms"/>
  </ds:schemaRefs>
</ds:datastoreItem>
</file>

<file path=customXml/itemProps3.xml><?xml version="1.0" encoding="utf-8"?>
<ds:datastoreItem xmlns:ds="http://schemas.openxmlformats.org/officeDocument/2006/customXml" ds:itemID="{34DF8A54-FFA4-4017-89B8-390F6336D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ae95b-8272-4d3b-a473-b6c8d0e6a9c9"/>
    <ds:schemaRef ds:uri="79392c51-0192-4e0e-b858-3a8b41b0f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F68A22-31EE-4D75-9664-2EF69E19664B}">
  <ds:schemaRefs>
    <ds:schemaRef ds:uri="http://schemas.microsoft.com/sharepoint/events"/>
  </ds:schemaRefs>
</ds:datastoreItem>
</file>

<file path=customXml/itemProps5.xml><?xml version="1.0" encoding="utf-8"?>
<ds:datastoreItem xmlns:ds="http://schemas.openxmlformats.org/officeDocument/2006/customXml" ds:itemID="{5D493B3C-F94B-4459-9514-54A073079E80}">
  <ds:schemaRefs>
    <ds:schemaRef ds:uri="http://schemas.openxmlformats.org/officeDocument/2006/bibliography"/>
  </ds:schemaRefs>
</ds:datastoreItem>
</file>

<file path=customXml/itemProps6.xml><?xml version="1.0" encoding="utf-8"?>
<ds:datastoreItem xmlns:ds="http://schemas.openxmlformats.org/officeDocument/2006/customXml" ds:itemID="{CD84AA02-C1BA-4ADE-9C9A-84787E026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 Paper template</Template>
  <TotalTime>32</TotalTime>
  <Pages>9</Pages>
  <Words>2360</Words>
  <Characters>12663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AC Annual Risk Report June 2017</vt:lpstr>
    </vt:vector>
  </TitlesOfParts>
  <Company>NHS Health Scotland</Company>
  <LinksUpToDate>false</LinksUpToDate>
  <CharactersWithSpaces>14994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 Annual Risk Report June 2017</dc:title>
  <dc:creator>Brian Orpin</dc:creator>
  <cp:keywords>risk management ; board ; 2014</cp:keywords>
  <cp:lastModifiedBy>Marie Kerrigan</cp:lastModifiedBy>
  <cp:revision>11</cp:revision>
  <cp:lastPrinted>2019-05-15T11:29:00Z</cp:lastPrinted>
  <dcterms:created xsi:type="dcterms:W3CDTF">2019-06-11T18:51:00Z</dcterms:created>
  <dcterms:modified xsi:type="dcterms:W3CDTF">2019-06-14T13:56:00Z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0x010100AB71BC9B4D1D724495B6D89DE9CAF18300BA76C7B1B4CB2C4BABAAAD7F3D123A2B00B7D2FEF73E46D24E83F3DF4E755F733D</vt:lpwstr>
  </property>
  <property fmtid="{D5CDD505-2E9C-101B-9397-08002B2CF9AE}" pid="3" name="TaxKeyword">
    <vt:lpwstr>335;#2014|1c7c1e68-692d-4e81-a0c0-65122681b1b1;#576;#board|ae1debcb-6201-46eb-b143-535e72e178dc;#394;#risk management|672ca253-9116-4011-a875-473f8beb91ff</vt:lpwstr>
  </property>
  <property fmtid="{D5CDD505-2E9C-101B-9397-08002B2CF9AE}" pid="4" name="Security_x0020_Classification">
    <vt:lpwstr>68;#Official|a9e4adaf-8bca-4c71-9e4f-98bd8120f7e0</vt:lpwstr>
  </property>
  <property fmtid="{D5CDD505-2E9C-101B-9397-08002B2CF9AE}" pid="5" name="HSTeam">
    <vt:lpwstr>158;#Information Governance and Risk|73643014-11c6-4baa-a042-2445572b6722</vt:lpwstr>
  </property>
  <property fmtid="{D5CDD505-2E9C-101B-9397-08002B2CF9AE}" pid="6" name="Team_x0020_Document_x0020_Class">
    <vt:lpwstr>417;#Corporate|12c633ff-9f7b-47ca-8fcb-6c7e74ae4d94</vt:lpwstr>
  </property>
  <property fmtid="{D5CDD505-2E9C-101B-9397-08002B2CF9AE}" pid="7" name="Team Document Class">
    <vt:lpwstr>417;#Corporate|12c633ff-9f7b-47ca-8fcb-6c7e74ae4d94</vt:lpwstr>
  </property>
  <property fmtid="{D5CDD505-2E9C-101B-9397-08002B2CF9AE}" pid="8" name="Security Classification">
    <vt:lpwstr>68;#Official|a9e4adaf-8bca-4c71-9e4f-98bd8120f7e0</vt:lpwstr>
  </property>
  <property fmtid="{D5CDD505-2E9C-101B-9397-08002B2CF9AE}" pid="9" name="_dlc_DocId">
    <vt:lpwstr>HSDOC-87-771</vt:lpwstr>
  </property>
  <property fmtid="{D5CDD505-2E9C-101B-9397-08002B2CF9AE}" pid="10" name="_dlc_DocIdUrl">
    <vt:lpwstr>http://thesource.healthscotland.com/collaboration/teams/informationgovernanceandrisk/_layouts/15/DocIdRedir.aspx?ID=HSDOC-87-771, HSDOC-87-771</vt:lpwstr>
  </property>
  <property fmtid="{D5CDD505-2E9C-101B-9397-08002B2CF9AE}" pid="11" name="_dlc_DocIdItemGuid">
    <vt:lpwstr>3208aa23-9ca0-4a0c-b8f5-8905b6ec64d2</vt:lpwstr>
  </property>
  <property fmtid="{D5CDD505-2E9C-101B-9397-08002B2CF9AE}" pid="12" name="jbe0d22269c94ed8a7d73b235ca31828">
    <vt:lpwstr>Official|a9e4adaf-8bca-4c71-9e4f-98bd8120f7e0</vt:lpwstr>
  </property>
  <property fmtid="{D5CDD505-2E9C-101B-9397-08002B2CF9AE}" pid="13" name="k37d73622bdd4b62a00a614bbafaf144">
    <vt:lpwstr>Information Governance and Risk|73643014-11c6-4baa-a042-2445572b6722</vt:lpwstr>
  </property>
  <property fmtid="{D5CDD505-2E9C-101B-9397-08002B2CF9AE}" pid="14" name="e272d711611e4240b5d869711b1da1fb">
    <vt:lpwstr>Corporate|12c633ff-9f7b-47ca-8fcb-6c7e74ae4d94</vt:lpwstr>
  </property>
  <property fmtid="{D5CDD505-2E9C-101B-9397-08002B2CF9AE}" pid="15" name="HSDocumentTag">
    <vt:lpwstr>2;#Audit Committee|60867684-507a-49fc-9362-2e9401ce2d95</vt:lpwstr>
  </property>
  <property fmtid="{D5CDD505-2E9C-101B-9397-08002B2CF9AE}" pid="16" name="m4390ab588fc4cfcb8b4f0d44879069f">
    <vt:lpwstr/>
  </property>
  <property fmtid="{D5CDD505-2E9C-101B-9397-08002B2CF9AE}" pid="17" name="TG Document Type">
    <vt:lpwstr/>
  </property>
  <property fmtid="{D5CDD505-2E9C-101B-9397-08002B2CF9AE}" pid="18" name="b2d4505840f645f78129ba2eba48d2f9">
    <vt:lpwstr/>
  </property>
  <property fmtid="{D5CDD505-2E9C-101B-9397-08002B2CF9AE}" pid="19" name="k75da4edcc4c4ce2b3846a8497fdb063">
    <vt:lpwstr/>
  </property>
  <property fmtid="{D5CDD505-2E9C-101B-9397-08002B2CF9AE}" pid="20" name="Tags">
    <vt:lpwstr/>
  </property>
  <property fmtid="{D5CDD505-2E9C-101B-9397-08002B2CF9AE}" pid="21" name="TaxKeywordTaxHTField">
    <vt:lpwstr>2014|1c7c1e68-692d-4e81-a0c0-65122681b1b1;board|ae1debcb-6201-46eb-b143-535e72e178dc;risk management|672ca253-9116-4011-a875-473f8beb91ff</vt:lpwstr>
  </property>
  <property fmtid="{D5CDD505-2E9C-101B-9397-08002B2CF9AE}" pid="22" name="HSMonth">
    <vt:lpwstr>27;#June|50a24c58-0ba8-4020-b9d5-e889b52cd573</vt:lpwstr>
  </property>
  <property fmtid="{D5CDD505-2E9C-101B-9397-08002B2CF9AE}" pid="23" name="Authoring Body">
    <vt:lpwstr/>
  </property>
  <property fmtid="{D5CDD505-2E9C-101B-9397-08002B2CF9AE}" pid="24" name="HSYear">
    <vt:lpwstr>93;#2019|108c8c6e-9117-47f5-8925-4b152f0cc9eb</vt:lpwstr>
  </property>
  <property fmtid="{D5CDD505-2E9C-101B-9397-08002B2CF9AE}" pid="25" name="Team">
    <vt:lpwstr/>
  </property>
  <property fmtid="{D5CDD505-2E9C-101B-9397-08002B2CF9AE}" pid="26" name="ff43984b496346058002bdab7e688d5e">
    <vt:lpwstr>Audit Committee|c911be7e-6d83-4649-9b63-22f681c5219f</vt:lpwstr>
  </property>
  <property fmtid="{D5CDD505-2E9C-101B-9397-08002B2CF9AE}" pid="27" name="HSCEOPersonnelName">
    <vt:lpwstr/>
  </property>
  <property fmtid="{D5CDD505-2E9C-101B-9397-08002B2CF9AE}" pid="28" name="HSCEOCommittee">
    <vt:lpwstr>1;#Audit Committee|c911be7e-6d83-4649-9b63-22f681c5219f</vt:lpwstr>
  </property>
</Properties>
</file>